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1469A" w14:textId="77777777" w:rsidR="00F64E6E" w:rsidRPr="00F64E6E" w:rsidRDefault="00F64E6E" w:rsidP="00F64E6E">
      <w:pPr>
        <w:spacing w:line="256" w:lineRule="auto"/>
        <w:rPr>
          <w:b/>
          <w:bCs/>
          <w:color w:val="00B588"/>
          <w:sz w:val="32"/>
          <w:szCs w:val="32"/>
        </w:rPr>
      </w:pPr>
      <w:r w:rsidRPr="00F64E6E">
        <w:rPr>
          <w:b/>
          <w:bCs/>
          <w:color w:val="00B588"/>
          <w:sz w:val="32"/>
          <w:szCs w:val="32"/>
        </w:rPr>
        <w:t>Dossier énergie - Nouveautés</w:t>
      </w:r>
    </w:p>
    <w:p w14:paraId="09AAEAED" w14:textId="662077A0" w:rsidR="00F52B4C" w:rsidRDefault="00F64E6E" w:rsidP="00F64E6E">
      <w:pPr>
        <w:widowControl w:val="0"/>
        <w:rPr>
          <w:rFonts w:ascii="Arial" w:eastAsia="Times New Roman" w:hAnsi="Arial" w:cs="Arial"/>
          <w:sz w:val="22"/>
          <w:szCs w:val="22"/>
          <w:lang w:eastAsia="fr-BE"/>
        </w:rPr>
      </w:pPr>
      <w:r>
        <w:t> </w:t>
      </w:r>
      <w:r w:rsidR="009C00CA" w:rsidRPr="0024310E">
        <w:rPr>
          <w:rFonts w:ascii="Arial" w:eastAsia="Times New Roman" w:hAnsi="Arial" w:cs="Arial"/>
          <w:sz w:val="22"/>
          <w:szCs w:val="22"/>
          <w:lang w:eastAsia="fr-BE"/>
        </w:rPr>
        <w:t>Ces derniers mois</w:t>
      </w:r>
      <w:r w:rsidR="00504B7B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, le Gouvernement wallon a </w:t>
      </w:r>
      <w:r w:rsidR="00F52B4C" w:rsidRPr="0024310E">
        <w:rPr>
          <w:rFonts w:ascii="Arial" w:eastAsia="Times New Roman" w:hAnsi="Arial" w:cs="Arial"/>
          <w:sz w:val="22"/>
          <w:szCs w:val="22"/>
          <w:lang w:eastAsia="fr-BE"/>
        </w:rPr>
        <w:t>adopté une série de modifications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en matière d’énergie</w:t>
      </w:r>
      <w:r w:rsidR="00F52B4C" w:rsidRPr="0024310E">
        <w:rPr>
          <w:rFonts w:ascii="Arial" w:eastAsia="Times New Roman" w:hAnsi="Arial" w:cs="Arial"/>
          <w:sz w:val="22"/>
          <w:szCs w:val="22"/>
          <w:lang w:eastAsia="fr-BE"/>
        </w:rPr>
        <w:t>.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9C00CA" w:rsidRPr="0024310E">
        <w:rPr>
          <w:rFonts w:ascii="Arial" w:eastAsia="Times New Roman" w:hAnsi="Arial" w:cs="Arial"/>
          <w:sz w:val="22"/>
          <w:szCs w:val="22"/>
          <w:lang w:eastAsia="fr-BE"/>
        </w:rPr>
        <w:t>En voici l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es principaux changements. </w:t>
      </w:r>
    </w:p>
    <w:p w14:paraId="069A1809" w14:textId="77777777" w:rsidR="00F64E6E" w:rsidRPr="00F64E6E" w:rsidRDefault="00F64E6E" w:rsidP="00F64E6E">
      <w:pPr>
        <w:widowControl w:val="0"/>
        <w:rPr>
          <w:color w:val="4D4D4D"/>
          <w:sz w:val="18"/>
          <w:szCs w:val="18"/>
        </w:rPr>
      </w:pPr>
    </w:p>
    <w:p w14:paraId="798EF2EB" w14:textId="3953FD12" w:rsidR="009C00CA" w:rsidRPr="00F64E6E" w:rsidRDefault="00F64E6E" w:rsidP="00F64E6E">
      <w:pPr>
        <w:widowControl w:val="0"/>
        <w:jc w:val="both"/>
        <w:rPr>
          <w:b/>
          <w:bCs/>
          <w:color w:val="00B588"/>
          <w:sz w:val="26"/>
          <w:szCs w:val="26"/>
          <w:u w:val="single"/>
        </w:rPr>
      </w:pPr>
      <w:r w:rsidRPr="00F64E6E">
        <w:rPr>
          <w:b/>
          <w:bCs/>
          <w:color w:val="00B588"/>
          <w:sz w:val="26"/>
          <w:szCs w:val="26"/>
        </w:rPr>
        <w:t>Le compteur à budget </w:t>
      </w:r>
    </w:p>
    <w:p w14:paraId="4FBBE145" w14:textId="6D656577" w:rsidR="004B54E0" w:rsidRPr="0024310E" w:rsidRDefault="00CA587A" w:rsidP="00D5436D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sz w:val="22"/>
          <w:szCs w:val="22"/>
          <w:u w:val="single"/>
          <w:lang w:eastAsia="fr-BE"/>
        </w:rPr>
      </w:pPr>
      <w:r w:rsidRPr="0024310E">
        <w:rPr>
          <w:rFonts w:ascii="Arial" w:eastAsia="Times New Roman" w:hAnsi="Arial" w:cs="Arial"/>
          <w:i/>
          <w:iCs/>
          <w:sz w:val="22"/>
          <w:szCs w:val="22"/>
          <w:u w:val="single"/>
          <w:lang w:eastAsia="fr-BE"/>
        </w:rPr>
        <w:t>Le coût</w:t>
      </w:r>
    </w:p>
    <w:p w14:paraId="68C386AE" w14:textId="77777777" w:rsidR="009C00CA" w:rsidRPr="0024310E" w:rsidRDefault="009C00CA" w:rsidP="00D543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>e compteur à budget peut être installé</w:t>
      </w:r>
      <w:r w:rsidR="004F2A9F" w:rsidRPr="0024310E">
        <w:rPr>
          <w:rFonts w:ascii="Arial" w:eastAsia="Times New Roman" w:hAnsi="Arial" w:cs="Arial"/>
          <w:sz w:val="22"/>
          <w:szCs w:val="22"/>
          <w:lang w:eastAsia="fr-BE"/>
        </w:rPr>
        <w:t>,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D5436D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soit 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>sur demande</w:t>
      </w:r>
      <w:r w:rsidR="00D5436D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expresse du consommateur</w:t>
      </w:r>
      <w:r w:rsidR="004F2A9F" w:rsidRPr="0024310E">
        <w:rPr>
          <w:rFonts w:ascii="Arial" w:eastAsia="Times New Roman" w:hAnsi="Arial" w:cs="Arial"/>
          <w:sz w:val="22"/>
          <w:szCs w:val="22"/>
          <w:lang w:eastAsia="fr-BE"/>
        </w:rPr>
        <w:t>,</w:t>
      </w:r>
      <w:r w:rsidR="00D5436D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soit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3D5D33" w:rsidRPr="0024310E">
        <w:rPr>
          <w:rFonts w:ascii="Arial" w:eastAsia="Times New Roman" w:hAnsi="Arial" w:cs="Arial"/>
          <w:sz w:val="22"/>
          <w:szCs w:val="22"/>
          <w:lang w:eastAsia="fr-BE"/>
        </w:rPr>
        <w:t>à la suite d’un</w:t>
      </w:r>
      <w:r w:rsidR="000D06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défaut de paiement. </w:t>
      </w:r>
    </w:p>
    <w:p w14:paraId="75BDED61" w14:textId="71446AD6" w:rsidR="00D11F74" w:rsidRPr="0024310E" w:rsidRDefault="000D06DE" w:rsidP="00D543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Depuis le 1</w:t>
      </w:r>
      <w:r w:rsidRPr="0024310E">
        <w:rPr>
          <w:rFonts w:ascii="Arial" w:eastAsia="Times New Roman" w:hAnsi="Arial" w:cs="Arial"/>
          <w:sz w:val="22"/>
          <w:szCs w:val="22"/>
          <w:vertAlign w:val="superscript"/>
          <w:lang w:eastAsia="fr-BE"/>
        </w:rPr>
        <w:t>er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avril 2019, to</w:t>
      </w:r>
      <w:r w:rsidR="00D11F74" w:rsidRPr="0024310E">
        <w:rPr>
          <w:rFonts w:ascii="Arial" w:eastAsia="Times New Roman" w:hAnsi="Arial" w:cs="Arial"/>
          <w:sz w:val="22"/>
          <w:szCs w:val="22"/>
          <w:lang w:eastAsia="fr-BE"/>
        </w:rPr>
        <w:t>ute demande de placement est 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totalement </w:t>
      </w:r>
      <w:r w:rsidR="00D11F74"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>gratuite</w:t>
      </w:r>
      <w:r w:rsidR="00D11F74" w:rsidRPr="0024310E">
        <w:rPr>
          <w:rFonts w:ascii="Arial" w:eastAsia="Times New Roman" w:hAnsi="Arial" w:cs="Arial"/>
          <w:sz w:val="22"/>
          <w:szCs w:val="22"/>
          <w:lang w:eastAsia="fr-BE"/>
        </w:rPr>
        <w:t> </w:t>
      </w:r>
      <w:r w:rsidR="00504B7B" w:rsidRPr="0024310E">
        <w:rPr>
          <w:rFonts w:ascii="Arial" w:eastAsia="Times New Roman" w:hAnsi="Arial" w:cs="Arial"/>
          <w:sz w:val="22"/>
          <w:szCs w:val="22"/>
          <w:lang w:eastAsia="fr-BE"/>
        </w:rPr>
        <w:t>pour :</w:t>
      </w:r>
    </w:p>
    <w:p w14:paraId="12488FDD" w14:textId="1CD8E154" w:rsidR="00D11F74" w:rsidRPr="0024310E" w:rsidRDefault="00504B7B" w:rsidP="00D543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Les</w:t>
      </w:r>
      <w:r w:rsidR="00D11F74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clients protégés</w:t>
      </w:r>
      <w:r w:rsidR="000D06DE" w:rsidRPr="0024310E">
        <w:rPr>
          <w:rStyle w:val="Appelnotedebasdep"/>
          <w:rFonts w:ascii="Arial" w:eastAsia="Times New Roman" w:hAnsi="Arial" w:cs="Arial"/>
          <w:sz w:val="22"/>
          <w:szCs w:val="22"/>
          <w:lang w:eastAsia="fr-BE"/>
        </w:rPr>
        <w:footnoteReference w:id="1"/>
      </w:r>
      <w:r w:rsidR="00D5436D" w:rsidRPr="0024310E">
        <w:rPr>
          <w:rFonts w:ascii="Arial" w:eastAsia="Times New Roman" w:hAnsi="Arial" w:cs="Arial"/>
          <w:sz w:val="22"/>
          <w:szCs w:val="22"/>
          <w:lang w:eastAsia="fr-BE"/>
        </w:rPr>
        <w:t> ;</w:t>
      </w:r>
    </w:p>
    <w:p w14:paraId="04C3BAE0" w14:textId="64D63416" w:rsidR="00D11F74" w:rsidRPr="0024310E" w:rsidRDefault="00504B7B" w:rsidP="00D543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Le</w:t>
      </w:r>
      <w:r w:rsidR="00D11F74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consommateur déclaré en défaut de paiement par son fournisseur d'énergie</w:t>
      </w:r>
      <w:r w:rsidR="00D5436D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;</w:t>
      </w:r>
    </w:p>
    <w:p w14:paraId="63E4CF95" w14:textId="6B764772" w:rsidR="00D11F74" w:rsidRPr="0024310E" w:rsidRDefault="00504B7B" w:rsidP="00D543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Le</w:t>
      </w:r>
      <w:r w:rsidR="00D11F74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consommateur dont la demande de placement de compteur à budget est soutenue par son CPAS</w:t>
      </w:r>
      <w:r w:rsidR="00D5436D" w:rsidRPr="0024310E">
        <w:rPr>
          <w:rFonts w:ascii="Arial" w:eastAsia="Times New Roman" w:hAnsi="Arial" w:cs="Arial"/>
          <w:sz w:val="22"/>
          <w:szCs w:val="22"/>
          <w:lang w:eastAsia="fr-BE"/>
        </w:rPr>
        <w:t> ;</w:t>
      </w:r>
    </w:p>
    <w:p w14:paraId="5BFC6769" w14:textId="5984D529" w:rsidR="00D11F74" w:rsidRPr="0024310E" w:rsidRDefault="00504B7B" w:rsidP="00D5436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Le</w:t>
      </w:r>
      <w:r w:rsidR="00D11F74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consommateur qui déménage et qui disposait déjà d'un compteur à budget actif dans son ancien logement.</w:t>
      </w:r>
    </w:p>
    <w:p w14:paraId="7D1810A4" w14:textId="1124910B" w:rsidR="00F13DE3" w:rsidRPr="0024310E" w:rsidRDefault="00D5436D" w:rsidP="00D5436D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Pour les autres catégories de consommateur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de la province du Hainaut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, le compteur à budget et son installation sont </w:t>
      </w:r>
      <w:r w:rsidR="0014754F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au prix de 150 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euros </w:t>
      </w:r>
      <w:r w:rsidR="0014754F" w:rsidRPr="0024310E">
        <w:rPr>
          <w:rFonts w:ascii="Arial" w:eastAsia="Times New Roman" w:hAnsi="Arial" w:cs="Arial"/>
          <w:sz w:val="22"/>
          <w:szCs w:val="22"/>
          <w:lang w:eastAsia="fr-BE"/>
        </w:rPr>
        <w:t>par compteur.</w:t>
      </w:r>
      <w:r w:rsidR="00D11F74" w:rsidRPr="0024310E">
        <w:rPr>
          <w:rStyle w:val="Appelnotedebasdep"/>
          <w:rFonts w:ascii="Arial" w:hAnsi="Arial" w:cs="Arial"/>
          <w:sz w:val="22"/>
          <w:szCs w:val="22"/>
        </w:rPr>
        <w:footnoteReference w:id="2"/>
      </w:r>
    </w:p>
    <w:p w14:paraId="1F435A31" w14:textId="7A73BB5D" w:rsidR="00645389" w:rsidRPr="0024310E" w:rsidRDefault="00645389" w:rsidP="00CA587A">
      <w:pPr>
        <w:pStyle w:val="Paragraphedeliste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i/>
          <w:iCs/>
          <w:sz w:val="22"/>
          <w:szCs w:val="22"/>
          <w:u w:val="single"/>
          <w:lang w:eastAsia="fr-BE"/>
        </w:rPr>
      </w:pPr>
      <w:r w:rsidRPr="0024310E">
        <w:rPr>
          <w:rFonts w:ascii="Arial" w:eastAsia="Times New Roman" w:hAnsi="Arial" w:cs="Arial"/>
          <w:i/>
          <w:iCs/>
          <w:sz w:val="22"/>
          <w:szCs w:val="22"/>
          <w:u w:val="single"/>
          <w:lang w:eastAsia="fr-BE"/>
        </w:rPr>
        <w:t>L</w:t>
      </w:r>
      <w:r w:rsidR="00CA587A" w:rsidRPr="0024310E">
        <w:rPr>
          <w:rFonts w:ascii="Arial" w:eastAsia="Times New Roman" w:hAnsi="Arial" w:cs="Arial"/>
          <w:i/>
          <w:iCs/>
          <w:sz w:val="22"/>
          <w:szCs w:val="22"/>
          <w:u w:val="single"/>
          <w:lang w:eastAsia="fr-BE"/>
        </w:rPr>
        <w:t>e l</w:t>
      </w:r>
      <w:r w:rsidRPr="0024310E">
        <w:rPr>
          <w:rFonts w:ascii="Arial" w:eastAsia="Times New Roman" w:hAnsi="Arial" w:cs="Arial"/>
          <w:i/>
          <w:iCs/>
          <w:sz w:val="22"/>
          <w:szCs w:val="22"/>
          <w:u w:val="single"/>
          <w:lang w:eastAsia="fr-BE"/>
        </w:rPr>
        <w:t>imiteur de puissance</w:t>
      </w:r>
    </w:p>
    <w:p w14:paraId="48798FE1" w14:textId="0D7B7D84" w:rsidR="00CA587A" w:rsidRPr="0024310E" w:rsidRDefault="009C00CA" w:rsidP="00CA587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10E">
        <w:rPr>
          <w:rFonts w:ascii="Arial" w:hAnsi="Arial" w:cs="Arial"/>
          <w:sz w:val="22"/>
          <w:szCs w:val="22"/>
        </w:rPr>
        <w:t>Lo</w:t>
      </w:r>
      <w:r w:rsidR="00CA587A" w:rsidRPr="0024310E">
        <w:rPr>
          <w:rFonts w:ascii="Arial" w:hAnsi="Arial" w:cs="Arial"/>
          <w:sz w:val="22"/>
          <w:szCs w:val="22"/>
        </w:rPr>
        <w:t>rsque le solde du compteur à budget et le crédit de secours sont épuisés, le client protégé peut activer le limiteur de puissance qui lui permet</w:t>
      </w:r>
      <w:r w:rsidR="008149DE" w:rsidRPr="0024310E">
        <w:rPr>
          <w:rFonts w:ascii="Arial" w:hAnsi="Arial" w:cs="Arial"/>
          <w:sz w:val="22"/>
          <w:szCs w:val="22"/>
        </w:rPr>
        <w:t>,</w:t>
      </w:r>
      <w:r w:rsidR="00DE781C" w:rsidRPr="0024310E">
        <w:rPr>
          <w:rFonts w:ascii="Arial" w:hAnsi="Arial" w:cs="Arial"/>
          <w:sz w:val="22"/>
          <w:szCs w:val="22"/>
        </w:rPr>
        <w:t xml:space="preserve"> lorsqu’il n’a plus les moyens de recharger le compteur</w:t>
      </w:r>
      <w:r w:rsidR="008149DE" w:rsidRPr="0024310E">
        <w:rPr>
          <w:rFonts w:ascii="Arial" w:hAnsi="Arial" w:cs="Arial"/>
          <w:sz w:val="22"/>
          <w:szCs w:val="22"/>
        </w:rPr>
        <w:t>,</w:t>
      </w:r>
      <w:r w:rsidR="00CA587A" w:rsidRPr="0024310E">
        <w:rPr>
          <w:rFonts w:ascii="Arial" w:hAnsi="Arial" w:cs="Arial"/>
          <w:sz w:val="22"/>
          <w:szCs w:val="22"/>
        </w:rPr>
        <w:t xml:space="preserve"> de</w:t>
      </w:r>
      <w:r w:rsidR="00CA587A" w:rsidRPr="0024310E">
        <w:rPr>
          <w:rStyle w:val="lev"/>
          <w:rFonts w:ascii="Arial" w:eastAsiaTheme="majorEastAsia" w:hAnsi="Arial" w:cs="Arial"/>
          <w:b w:val="0"/>
          <w:bCs w:val="0"/>
          <w:sz w:val="22"/>
          <w:szCs w:val="22"/>
        </w:rPr>
        <w:t xml:space="preserve"> bénéficier d’une fourniture minimale en électricité</w:t>
      </w:r>
      <w:r w:rsidR="00CA587A" w:rsidRPr="0024310E">
        <w:rPr>
          <w:rFonts w:ascii="Arial" w:hAnsi="Arial" w:cs="Arial"/>
          <w:b/>
          <w:bCs/>
          <w:sz w:val="22"/>
          <w:szCs w:val="22"/>
        </w:rPr>
        <w:t xml:space="preserve"> </w:t>
      </w:r>
      <w:r w:rsidR="00CA587A" w:rsidRPr="0024310E">
        <w:rPr>
          <w:rFonts w:ascii="Arial" w:hAnsi="Arial" w:cs="Arial"/>
          <w:sz w:val="22"/>
          <w:szCs w:val="22"/>
        </w:rPr>
        <w:t>(puissance maximale de 2200 Watts).</w:t>
      </w:r>
    </w:p>
    <w:p w14:paraId="6F27E87E" w14:textId="76BE9A54" w:rsidR="00CA587A" w:rsidRPr="0024310E" w:rsidRDefault="009C00CA" w:rsidP="00CA587A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10E">
        <w:rPr>
          <w:rFonts w:ascii="Arial" w:hAnsi="Arial" w:cs="Arial"/>
          <w:sz w:val="22"/>
          <w:szCs w:val="22"/>
        </w:rPr>
        <w:t>L’activation était automatique avant la réforme. Dorénavant, c</w:t>
      </w:r>
      <w:r w:rsidR="00CA587A" w:rsidRPr="0024310E">
        <w:rPr>
          <w:rFonts w:ascii="Arial" w:hAnsi="Arial" w:cs="Arial"/>
          <w:sz w:val="22"/>
          <w:szCs w:val="22"/>
        </w:rPr>
        <w:t xml:space="preserve">e limiteur </w:t>
      </w:r>
      <w:r w:rsidRPr="0024310E">
        <w:rPr>
          <w:rFonts w:ascii="Arial" w:hAnsi="Arial" w:cs="Arial"/>
          <w:sz w:val="22"/>
          <w:szCs w:val="22"/>
        </w:rPr>
        <w:t xml:space="preserve">est activé grâce à </w:t>
      </w:r>
      <w:r w:rsidR="00CA587A" w:rsidRPr="0024310E">
        <w:rPr>
          <w:rFonts w:ascii="Arial" w:hAnsi="Arial" w:cs="Arial"/>
          <w:sz w:val="22"/>
          <w:szCs w:val="22"/>
        </w:rPr>
        <w:t xml:space="preserve">une demande expresse </w:t>
      </w:r>
      <w:r w:rsidRPr="0024310E">
        <w:rPr>
          <w:rFonts w:ascii="Arial" w:hAnsi="Arial" w:cs="Arial"/>
          <w:sz w:val="22"/>
          <w:szCs w:val="22"/>
        </w:rPr>
        <w:t>du</w:t>
      </w:r>
      <w:r w:rsidR="00CA587A" w:rsidRPr="0024310E">
        <w:rPr>
          <w:rFonts w:ascii="Arial" w:hAnsi="Arial" w:cs="Arial"/>
          <w:sz w:val="22"/>
          <w:szCs w:val="22"/>
        </w:rPr>
        <w:t xml:space="preserve"> CPAS </w:t>
      </w:r>
      <w:r w:rsidR="008149DE" w:rsidRPr="0024310E">
        <w:rPr>
          <w:rFonts w:ascii="Arial" w:hAnsi="Arial" w:cs="Arial"/>
          <w:sz w:val="22"/>
          <w:szCs w:val="22"/>
        </w:rPr>
        <w:t>au Gestionnaire de Réseau de Distribution</w:t>
      </w:r>
      <w:r w:rsidRPr="0024310E">
        <w:rPr>
          <w:rFonts w:ascii="Arial" w:hAnsi="Arial" w:cs="Arial"/>
          <w:sz w:val="22"/>
          <w:szCs w:val="22"/>
        </w:rPr>
        <w:t>.</w:t>
      </w:r>
      <w:r w:rsidR="008149DE" w:rsidRPr="0024310E">
        <w:rPr>
          <w:rFonts w:ascii="Arial" w:hAnsi="Arial" w:cs="Arial"/>
          <w:sz w:val="22"/>
          <w:szCs w:val="22"/>
        </w:rPr>
        <w:t xml:space="preserve"> </w:t>
      </w:r>
      <w:r w:rsidRPr="0024310E">
        <w:rPr>
          <w:rFonts w:ascii="Arial" w:hAnsi="Arial" w:cs="Arial"/>
          <w:sz w:val="22"/>
          <w:szCs w:val="22"/>
        </w:rPr>
        <w:t>Une fois activé, l</w:t>
      </w:r>
      <w:r w:rsidR="00DE781C" w:rsidRPr="0024310E">
        <w:rPr>
          <w:rFonts w:ascii="Arial" w:hAnsi="Arial" w:cs="Arial"/>
          <w:sz w:val="22"/>
          <w:szCs w:val="22"/>
        </w:rPr>
        <w:t xml:space="preserve">a fourniture minimale </w:t>
      </w:r>
      <w:r w:rsidRPr="0024310E">
        <w:rPr>
          <w:rFonts w:ascii="Arial" w:hAnsi="Arial" w:cs="Arial"/>
          <w:sz w:val="22"/>
          <w:szCs w:val="22"/>
        </w:rPr>
        <w:t>est</w:t>
      </w:r>
      <w:r w:rsidR="00DE781C" w:rsidRPr="0024310E">
        <w:rPr>
          <w:rFonts w:ascii="Arial" w:hAnsi="Arial" w:cs="Arial"/>
          <w:sz w:val="22"/>
          <w:szCs w:val="22"/>
        </w:rPr>
        <w:t xml:space="preserve"> garantie pendant une période de six mois</w:t>
      </w:r>
      <w:r w:rsidRPr="0024310E">
        <w:rPr>
          <w:rFonts w:ascii="Arial" w:hAnsi="Arial" w:cs="Arial"/>
          <w:sz w:val="22"/>
          <w:szCs w:val="22"/>
        </w:rPr>
        <w:t>. Après cette durée,</w:t>
      </w:r>
      <w:r w:rsidR="00DE781C" w:rsidRPr="0024310E">
        <w:rPr>
          <w:rFonts w:ascii="Arial" w:hAnsi="Arial" w:cs="Arial"/>
          <w:sz w:val="22"/>
          <w:szCs w:val="22"/>
        </w:rPr>
        <w:t xml:space="preserve"> le CPAS peut demander la désactivation du limiteur de puissance (sauf durant la période hivernale).</w:t>
      </w:r>
      <w:r w:rsidRPr="0024310E">
        <w:rPr>
          <w:rFonts w:ascii="Arial" w:hAnsi="Arial" w:cs="Arial"/>
          <w:sz w:val="22"/>
          <w:szCs w:val="22"/>
        </w:rPr>
        <w:t xml:space="preserve"> </w:t>
      </w:r>
      <w:r w:rsidR="00DE781C" w:rsidRPr="0024310E">
        <w:rPr>
          <w:rFonts w:ascii="Arial" w:hAnsi="Arial" w:cs="Arial"/>
          <w:sz w:val="22"/>
          <w:szCs w:val="22"/>
        </w:rPr>
        <w:t>La</w:t>
      </w:r>
      <w:r w:rsidR="00CA587A" w:rsidRPr="0024310E">
        <w:rPr>
          <w:rFonts w:ascii="Arial" w:hAnsi="Arial" w:cs="Arial"/>
          <w:sz w:val="22"/>
          <w:szCs w:val="22"/>
        </w:rPr>
        <w:t xml:space="preserve"> consommation</w:t>
      </w:r>
      <w:r w:rsidR="00DE781C" w:rsidRPr="0024310E">
        <w:rPr>
          <w:rFonts w:ascii="Arial" w:hAnsi="Arial" w:cs="Arial"/>
          <w:sz w:val="22"/>
          <w:szCs w:val="22"/>
        </w:rPr>
        <w:t xml:space="preserve"> énergétique</w:t>
      </w:r>
      <w:r w:rsidR="00CA587A" w:rsidRPr="0024310E">
        <w:rPr>
          <w:rFonts w:ascii="Arial" w:hAnsi="Arial" w:cs="Arial"/>
          <w:sz w:val="22"/>
          <w:szCs w:val="22"/>
        </w:rPr>
        <w:t xml:space="preserve"> sous limiteur sera facturée par la suite au client protégé.</w:t>
      </w:r>
    </w:p>
    <w:p w14:paraId="15DA6394" w14:textId="7FEED77B" w:rsidR="008149DE" w:rsidRPr="00F64E6E" w:rsidRDefault="00B3515D" w:rsidP="00F64E6E">
      <w:pPr>
        <w:widowControl w:val="0"/>
        <w:jc w:val="both"/>
        <w:rPr>
          <w:b/>
          <w:bCs/>
          <w:color w:val="00B588"/>
          <w:sz w:val="26"/>
          <w:szCs w:val="26"/>
        </w:rPr>
      </w:pPr>
      <w:r w:rsidRPr="00F64E6E">
        <w:rPr>
          <w:b/>
          <w:bCs/>
          <w:color w:val="00B588"/>
          <w:sz w:val="26"/>
          <w:szCs w:val="26"/>
        </w:rPr>
        <w:lastRenderedPageBreak/>
        <w:t>Le s</w:t>
      </w:r>
      <w:r w:rsidR="008149DE" w:rsidRPr="00F64E6E">
        <w:rPr>
          <w:b/>
          <w:bCs/>
          <w:color w:val="00B588"/>
          <w:sz w:val="26"/>
          <w:szCs w:val="26"/>
        </w:rPr>
        <w:t>tatut de client protégé :</w:t>
      </w:r>
    </w:p>
    <w:p w14:paraId="762AE460" w14:textId="56D3E14E" w:rsidR="008149DE" w:rsidRPr="0024310E" w:rsidRDefault="009C00CA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S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elon leurs revenus ou leur situation, certains consommateurs bénéficient d’une protection particulière en matière d’énergie</w:t>
      </w:r>
      <w:r w:rsidR="008B29D8" w:rsidRPr="0024310E">
        <w:rPr>
          <w:rFonts w:ascii="Arial" w:eastAsia="Times New Roman" w:hAnsi="Arial" w:cs="Arial"/>
          <w:sz w:val="22"/>
          <w:szCs w:val="22"/>
          <w:lang w:eastAsia="fr-BE"/>
        </w:rPr>
        <w:t>, il s’agit du statut de client protégé.</w:t>
      </w:r>
    </w:p>
    <w:p w14:paraId="73596F43" w14:textId="697B9BEC" w:rsidR="00FA6A40" w:rsidRPr="0024310E" w:rsidRDefault="00504153" w:rsidP="00FA6A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Les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c</w:t>
      </w:r>
      <w:r w:rsidR="003D4D82" w:rsidRPr="0024310E">
        <w:rPr>
          <w:rFonts w:ascii="Arial" w:eastAsia="Times New Roman" w:hAnsi="Arial" w:cs="Arial"/>
          <w:sz w:val="22"/>
          <w:szCs w:val="22"/>
          <w:lang w:eastAsia="fr-BE"/>
        </w:rPr>
        <w:t>atégories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pour être client protégé </w:t>
      </w:r>
      <w:r w:rsidR="00FA6A40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fédéral 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se sont étendues</w:t>
      </w:r>
      <w:r w:rsidR="003D4D82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(et comprennent maintenant des personnes 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qui perçoivent une des allocations de la Direction Générale Personnes Handicapées (DGPH) du SPF Sécurité sociale</w:t>
      </w:r>
      <w:r w:rsidR="003D4D82" w:rsidRPr="0024310E">
        <w:rPr>
          <w:rFonts w:ascii="Arial" w:eastAsia="Times New Roman" w:hAnsi="Arial" w:cs="Arial"/>
          <w:sz w:val="22"/>
          <w:szCs w:val="22"/>
          <w:lang w:eastAsia="fr-BE"/>
        </w:rPr>
        <w:t>)</w:t>
      </w:r>
      <w:r w:rsidR="00FA6A40" w:rsidRPr="0024310E">
        <w:rPr>
          <w:rFonts w:ascii="Arial" w:eastAsia="Times New Roman" w:hAnsi="Arial" w:cs="Arial"/>
          <w:sz w:val="22"/>
          <w:szCs w:val="22"/>
          <w:lang w:eastAsia="fr-BE"/>
        </w:rPr>
        <w:t>.</w:t>
      </w:r>
    </w:p>
    <w:p w14:paraId="39025DCB" w14:textId="26DD8A71" w:rsidR="008149DE" w:rsidRPr="0024310E" w:rsidRDefault="00FA6A40" w:rsidP="00FA6A4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Pour bénéficier du statut de client protégé, il faut qu’une personne du logement bénéficie :</w:t>
      </w:r>
    </w:p>
    <w:tbl>
      <w:tblPr>
        <w:tblpPr w:leftFromText="141" w:rightFromText="141" w:vertAnchor="text" w:horzAnchor="margin" w:tblpY="129"/>
        <w:tblW w:w="87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395"/>
      </w:tblGrid>
      <w:tr w:rsidR="0024310E" w:rsidRPr="0024310E" w14:paraId="1D97E11F" w14:textId="77777777" w:rsidTr="0024310E">
        <w:trPr>
          <w:trHeight w:val="360"/>
        </w:trPr>
        <w:tc>
          <w:tcPr>
            <w:tcW w:w="4390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D807B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FFFFFF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b/>
                <w:bCs/>
                <w:color w:val="FFFFFF"/>
                <w:kern w:val="28"/>
                <w:sz w:val="22"/>
                <w:szCs w:val="22"/>
                <w:lang w:eastAsia="fr-FR"/>
                <w14:cntxtAlts/>
              </w:rPr>
              <w:t>Fédéral</w:t>
            </w:r>
          </w:p>
        </w:tc>
        <w:tc>
          <w:tcPr>
            <w:tcW w:w="4395" w:type="dxa"/>
            <w:tcBorders>
              <w:top w:val="single" w:sz="8" w:space="0" w:color="2683C6"/>
              <w:left w:val="single" w:sz="8" w:space="0" w:color="2683C6"/>
              <w:bottom w:val="single" w:sz="8" w:space="0" w:color="2683C6"/>
              <w:right w:val="single" w:sz="8" w:space="0" w:color="2683C6"/>
            </w:tcBorders>
            <w:shd w:val="clear" w:color="auto" w:fill="2683C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9892" w14:textId="77777777" w:rsidR="0024310E" w:rsidRPr="0024310E" w:rsidRDefault="0024310E" w:rsidP="0024310E">
            <w:pPr>
              <w:widowControl w:val="0"/>
              <w:spacing w:after="0" w:line="300" w:lineRule="auto"/>
              <w:jc w:val="center"/>
              <w:rPr>
                <w:rFonts w:ascii="Arial" w:eastAsia="Times New Roman" w:hAnsi="Arial" w:cs="Arial"/>
                <w:color w:val="FFFFFF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b/>
                <w:bCs/>
                <w:color w:val="FFFFFF"/>
                <w:kern w:val="28"/>
                <w:sz w:val="22"/>
                <w:szCs w:val="22"/>
                <w:lang w:eastAsia="fr-FR"/>
                <w14:cntxtAlts/>
              </w:rPr>
              <w:t>Régional</w:t>
            </w:r>
          </w:p>
        </w:tc>
      </w:tr>
      <w:tr w:rsidR="0024310E" w:rsidRPr="0024310E" w14:paraId="4DB181F0" w14:textId="77777777" w:rsidTr="0024310E">
        <w:trPr>
          <w:trHeight w:val="849"/>
        </w:trPr>
        <w:tc>
          <w:tcPr>
            <w:tcW w:w="4390" w:type="dxa"/>
            <w:tcBorders>
              <w:top w:val="single" w:sz="8" w:space="0" w:color="2683C6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4320F" w14:textId="77777777" w:rsidR="0024310E" w:rsidRPr="0024310E" w:rsidRDefault="0024310E" w:rsidP="0024310E">
            <w:pPr>
              <w:widowControl w:val="0"/>
              <w:spacing w:after="200" w:line="300" w:lineRule="auto"/>
              <w:ind w:left="480" w:hanging="360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Du revenu d’intégration sociale (RIS).</w:t>
            </w:r>
          </w:p>
        </w:tc>
        <w:tc>
          <w:tcPr>
            <w:tcW w:w="4395" w:type="dxa"/>
            <w:tcBorders>
              <w:top w:val="single" w:sz="8" w:space="0" w:color="2683C6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15472" w14:textId="77777777" w:rsidR="0024310E" w:rsidRPr="0024310E" w:rsidRDefault="0024310E" w:rsidP="0024310E">
            <w:pPr>
              <w:widowControl w:val="0"/>
              <w:spacing w:after="200" w:line="300" w:lineRule="auto"/>
              <w:ind w:left="88" w:firstLine="25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D’une décision de guidance éducative de nature financière auprès du CPAS.</w:t>
            </w:r>
          </w:p>
        </w:tc>
      </w:tr>
      <w:tr w:rsidR="0024310E" w:rsidRPr="0024310E" w14:paraId="0DAFAB9E" w14:textId="77777777" w:rsidTr="0024310E">
        <w:trPr>
          <w:trHeight w:val="1106"/>
        </w:trPr>
        <w:tc>
          <w:tcPr>
            <w:tcW w:w="4390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2BCF0" w14:textId="77777777" w:rsidR="0024310E" w:rsidRPr="0024310E" w:rsidRDefault="0024310E" w:rsidP="0024310E">
            <w:pPr>
              <w:widowControl w:val="0"/>
              <w:spacing w:after="200" w:line="300" w:lineRule="auto"/>
              <w:ind w:left="68" w:firstLine="14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D’une aide sociale financière équivalente au revenu d’intégration (étranger avec autorisation de séjour illimitée).</w:t>
            </w:r>
          </w:p>
        </w:tc>
        <w:tc>
          <w:tcPr>
            <w:tcW w:w="4395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71A7C" w14:textId="77777777" w:rsidR="0024310E" w:rsidRPr="0024310E" w:rsidRDefault="0024310E" w:rsidP="0024310E">
            <w:pPr>
              <w:widowControl w:val="0"/>
              <w:spacing w:after="200" w:line="300" w:lineRule="auto"/>
              <w:ind w:left="88" w:firstLine="25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D’une médiation de dettes auprès d’un CPAS ou d’un centre de médiation de dettes agréé.</w:t>
            </w:r>
          </w:p>
        </w:tc>
      </w:tr>
      <w:tr w:rsidR="0024310E" w:rsidRPr="0024310E" w14:paraId="7D9015AA" w14:textId="77777777" w:rsidTr="0024310E">
        <w:trPr>
          <w:trHeight w:val="951"/>
        </w:trPr>
        <w:tc>
          <w:tcPr>
            <w:tcW w:w="4390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77217" w14:textId="77777777" w:rsidR="0024310E" w:rsidRPr="0024310E" w:rsidRDefault="0024310E" w:rsidP="0024310E">
            <w:pPr>
              <w:widowControl w:val="0"/>
              <w:tabs>
                <w:tab w:val="left" w:pos="0"/>
              </w:tabs>
              <w:spacing w:after="200" w:line="300" w:lineRule="auto"/>
              <w:ind w:left="82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 secours partiellement ou totalement pris en charge par l’État fédéral (articles 4 et 5 de la loi du 2 avril 1965).</w:t>
            </w:r>
          </w:p>
        </w:tc>
        <w:tc>
          <w:tcPr>
            <w:tcW w:w="4395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09DD7" w14:textId="77777777" w:rsidR="0024310E" w:rsidRPr="0024310E" w:rsidRDefault="0024310E" w:rsidP="0024310E">
            <w:pPr>
              <w:widowControl w:val="0"/>
              <w:tabs>
                <w:tab w:val="left" w:pos="174"/>
              </w:tabs>
              <w:spacing w:after="200" w:line="300" w:lineRule="auto"/>
              <w:ind w:left="88" w:firstLine="25"/>
              <w:rPr>
                <w:rFonts w:ascii="Arial" w:eastAsia="Times New Roman" w:hAnsi="Arial" w:cs="Arial"/>
                <w:color w:val="4D4D4D"/>
                <w:kern w:val="2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 règlement collectif de dettes.</w:t>
            </w:r>
          </w:p>
          <w:p w14:paraId="587437DE" w14:textId="77777777" w:rsidR="0024310E" w:rsidRPr="0024310E" w:rsidRDefault="0024310E" w:rsidP="0024310E">
            <w:pPr>
              <w:widowControl w:val="0"/>
              <w:tabs>
                <w:tab w:val="left" w:pos="174"/>
              </w:tabs>
              <w:spacing w:after="200" w:line="300" w:lineRule="auto"/>
              <w:ind w:left="88" w:firstLine="25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 </w:t>
            </w:r>
          </w:p>
        </w:tc>
      </w:tr>
      <w:tr w:rsidR="0024310E" w:rsidRPr="0024310E" w14:paraId="13BD4893" w14:textId="77777777" w:rsidTr="0024310E">
        <w:trPr>
          <w:trHeight w:val="1124"/>
        </w:trPr>
        <w:tc>
          <w:tcPr>
            <w:tcW w:w="4390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C08AE" w14:textId="77777777" w:rsidR="0024310E" w:rsidRPr="0024310E" w:rsidRDefault="0024310E" w:rsidP="0024310E">
            <w:pPr>
              <w:widowControl w:val="0"/>
              <w:tabs>
                <w:tab w:val="left" w:pos="124"/>
              </w:tabs>
              <w:spacing w:after="200" w:line="300" w:lineRule="auto"/>
              <w:ind w:left="88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D’une avance sur la garantie de revenu aux personnes âgées (GRAPA), l’allocation aux handicapés et l’allocation pour l’aide aux personnes âgées.</w:t>
            </w:r>
          </w:p>
        </w:tc>
        <w:tc>
          <w:tcPr>
            <w:tcW w:w="4395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vAlign w:val="center"/>
            <w:hideMark/>
          </w:tcPr>
          <w:p w14:paraId="4C05C0AB" w14:textId="77777777" w:rsidR="0024310E" w:rsidRPr="0024310E" w:rsidRDefault="0024310E" w:rsidP="0024310E">
            <w:pPr>
              <w:widowControl w:val="0"/>
              <w:spacing w:after="200" w:line="300" w:lineRule="auto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  <w:tr w:rsidR="0024310E" w:rsidRPr="0024310E" w14:paraId="5F0AA4F1" w14:textId="77777777" w:rsidTr="0024310E">
        <w:trPr>
          <w:trHeight w:val="1432"/>
        </w:trPr>
        <w:tc>
          <w:tcPr>
            <w:tcW w:w="4390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5EAD2" w14:textId="77777777" w:rsidR="0024310E" w:rsidRPr="0024310E" w:rsidRDefault="0024310E" w:rsidP="0024310E">
            <w:pPr>
              <w:widowControl w:val="0"/>
              <w:spacing w:after="200" w:line="300" w:lineRule="auto"/>
              <w:ind w:left="88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 xml:space="preserve">D’une allocation de personne handicapée </w:t>
            </w:r>
            <w:proofErr w:type="gramStart"/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suite à une</w:t>
            </w:r>
            <w:proofErr w:type="gramEnd"/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 xml:space="preserve"> incapacité permanente de travail d’au moins 65% (attention, il ne s’agit pas d’une allocation versée par la mutuelle).</w:t>
            </w:r>
          </w:p>
        </w:tc>
        <w:tc>
          <w:tcPr>
            <w:tcW w:w="4395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vAlign w:val="center"/>
            <w:hideMark/>
          </w:tcPr>
          <w:p w14:paraId="155E55B4" w14:textId="77777777" w:rsidR="0024310E" w:rsidRPr="0024310E" w:rsidRDefault="0024310E" w:rsidP="0024310E">
            <w:pPr>
              <w:widowControl w:val="0"/>
              <w:spacing w:after="200" w:line="300" w:lineRule="auto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  <w:tr w:rsidR="0024310E" w:rsidRPr="0024310E" w14:paraId="3E01EF63" w14:textId="77777777" w:rsidTr="0024310E">
        <w:trPr>
          <w:trHeight w:val="1212"/>
        </w:trPr>
        <w:tc>
          <w:tcPr>
            <w:tcW w:w="4390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A77D" w14:textId="77777777" w:rsidR="0024310E" w:rsidRPr="0024310E" w:rsidRDefault="0024310E" w:rsidP="0024310E">
            <w:pPr>
              <w:widowControl w:val="0"/>
              <w:spacing w:after="200" w:line="300" w:lineRule="auto"/>
              <w:ind w:left="82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D’une allocation de remplacement de revenus aux handicapés ou d’une allocation d’intégration aux handicapés catégories 2, 3 ou 4.</w:t>
            </w:r>
          </w:p>
        </w:tc>
        <w:tc>
          <w:tcPr>
            <w:tcW w:w="4395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vAlign w:val="center"/>
            <w:hideMark/>
          </w:tcPr>
          <w:p w14:paraId="1B343C81" w14:textId="77777777" w:rsidR="0024310E" w:rsidRPr="0024310E" w:rsidRDefault="0024310E" w:rsidP="0024310E">
            <w:pPr>
              <w:widowControl w:val="0"/>
              <w:spacing w:after="200" w:line="300" w:lineRule="auto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  <w:tr w:rsidR="0024310E" w:rsidRPr="0024310E" w14:paraId="386C72A6" w14:textId="77777777" w:rsidTr="0024310E">
        <w:trPr>
          <w:trHeight w:val="759"/>
        </w:trPr>
        <w:tc>
          <w:tcPr>
            <w:tcW w:w="4390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99097" w14:textId="77777777" w:rsidR="0024310E" w:rsidRPr="0024310E" w:rsidRDefault="0024310E" w:rsidP="0024310E">
            <w:pPr>
              <w:widowControl w:val="0"/>
              <w:spacing w:after="200" w:line="300" w:lineRule="auto"/>
              <w:ind w:left="82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D’une allocation d’aide aux personnes âgées.</w:t>
            </w:r>
          </w:p>
        </w:tc>
        <w:tc>
          <w:tcPr>
            <w:tcW w:w="4395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vAlign w:val="center"/>
            <w:hideMark/>
          </w:tcPr>
          <w:p w14:paraId="003CD2B7" w14:textId="77777777" w:rsidR="0024310E" w:rsidRPr="0024310E" w:rsidRDefault="0024310E" w:rsidP="0024310E">
            <w:pPr>
              <w:widowControl w:val="0"/>
              <w:spacing w:after="200" w:line="300" w:lineRule="auto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  <w:tr w:rsidR="0024310E" w:rsidRPr="0024310E" w14:paraId="74BDF413" w14:textId="77777777" w:rsidTr="0024310E">
        <w:trPr>
          <w:trHeight w:val="759"/>
        </w:trPr>
        <w:tc>
          <w:tcPr>
            <w:tcW w:w="4390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71EAD" w14:textId="77777777" w:rsidR="0024310E" w:rsidRPr="0024310E" w:rsidRDefault="0024310E" w:rsidP="0024310E">
            <w:pPr>
              <w:widowControl w:val="0"/>
              <w:spacing w:after="200" w:line="300" w:lineRule="auto"/>
              <w:ind w:left="82" w:firstLine="6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D’une allocation pour l’aide d’une tierce personne.</w:t>
            </w:r>
          </w:p>
        </w:tc>
        <w:tc>
          <w:tcPr>
            <w:tcW w:w="4395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vAlign w:val="center"/>
            <w:hideMark/>
          </w:tcPr>
          <w:p w14:paraId="7BE0A8F0" w14:textId="77777777" w:rsidR="0024310E" w:rsidRPr="0024310E" w:rsidRDefault="0024310E" w:rsidP="0024310E">
            <w:pPr>
              <w:widowControl w:val="0"/>
              <w:spacing w:after="200" w:line="300" w:lineRule="auto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  <w:t> </w:t>
            </w:r>
          </w:p>
        </w:tc>
      </w:tr>
    </w:tbl>
    <w:p w14:paraId="4FEF28F4" w14:textId="342F5D9B" w:rsidR="0024310E" w:rsidRDefault="0024310E" w:rsidP="00243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06837C" wp14:editId="44C77DBC">
                <wp:simplePos x="0" y="0"/>
                <wp:positionH relativeFrom="column">
                  <wp:posOffset>1208405</wp:posOffset>
                </wp:positionH>
                <wp:positionV relativeFrom="paragraph">
                  <wp:posOffset>3602355</wp:posOffset>
                </wp:positionV>
                <wp:extent cx="2790825" cy="228600"/>
                <wp:effectExtent l="0" t="1905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0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E939" id="Rectangle 1" o:spid="_x0000_s1026" style="position:absolute;margin-left:95.15pt;margin-top:283.65pt;width:219.75pt;height:1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61005EA1" w14:textId="36496487" w:rsidR="003D5D33" w:rsidRPr="0024310E" w:rsidRDefault="0024310E" w:rsidP="0024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310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F242F78" wp14:editId="5A3DF120">
                <wp:simplePos x="0" y="0"/>
                <wp:positionH relativeFrom="column">
                  <wp:posOffset>-2571750</wp:posOffset>
                </wp:positionH>
                <wp:positionV relativeFrom="paragraph">
                  <wp:posOffset>3602355</wp:posOffset>
                </wp:positionV>
                <wp:extent cx="5578475" cy="5429250"/>
                <wp:effectExtent l="0" t="1905" r="3175" b="0"/>
                <wp:wrapNone/>
                <wp:docPr id="3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7847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72F40" id="Control 5" o:spid="_x0000_s1026" style="position:absolute;margin-left:-202.5pt;margin-top:283.65pt;width:439.25pt;height:427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E6D45F9" w14:textId="48050DC6" w:rsidR="008149DE" w:rsidRPr="0024310E" w:rsidRDefault="003D4D82" w:rsidP="0024310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es avantages du statut de client protégé sont : </w:t>
      </w:r>
    </w:p>
    <w:p w14:paraId="0932A552" w14:textId="77777777" w:rsidR="008149DE" w:rsidRPr="0024310E" w:rsidRDefault="008149DE" w:rsidP="0024310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L’application du tarif social pour l’énergie ;</w:t>
      </w:r>
    </w:p>
    <w:p w14:paraId="76FCE86B" w14:textId="0D7179E8" w:rsidR="008149DE" w:rsidRPr="0024310E" w:rsidRDefault="008149DE" w:rsidP="0024310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Le placement du compteur à budge</w:t>
      </w:r>
      <w:r w:rsidR="00012C34" w:rsidRPr="0024310E">
        <w:rPr>
          <w:rFonts w:ascii="Arial" w:eastAsia="Times New Roman" w:hAnsi="Arial" w:cs="Arial"/>
          <w:sz w:val="22"/>
          <w:szCs w:val="22"/>
          <w:lang w:eastAsia="fr-BE"/>
        </w:rPr>
        <w:t>t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gratuit ;</w:t>
      </w:r>
    </w:p>
    <w:p w14:paraId="4E6E1501" w14:textId="6062FC39" w:rsidR="00060268" w:rsidRPr="0024310E" w:rsidRDefault="008149DE" w:rsidP="0024310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hanging="578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La demande d’activation de la fonction limiteur de puissance 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>au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CPAS, s’ils ont un</w:t>
      </w:r>
    </w:p>
    <w:p w14:paraId="5F6D4276" w14:textId="32E676F3" w:rsidR="008149DE" w:rsidRPr="0024310E" w:rsidRDefault="008149DE" w:rsidP="0024310E">
      <w:pPr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proofErr w:type="gramStart"/>
      <w:r w:rsidRPr="0024310E">
        <w:rPr>
          <w:rFonts w:ascii="Arial" w:eastAsia="Times New Roman" w:hAnsi="Arial" w:cs="Arial"/>
          <w:sz w:val="22"/>
          <w:szCs w:val="22"/>
          <w:lang w:eastAsia="fr-BE"/>
        </w:rPr>
        <w:t>compteur</w:t>
      </w:r>
      <w:proofErr w:type="gramEnd"/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à budget pour </w:t>
      </w:r>
      <w:r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>l’électricité</w:t>
      </w:r>
      <w:r w:rsidR="00012C34"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 xml:space="preserve"> </w:t>
      </w:r>
      <w:r w:rsidR="00012C34" w:rsidRPr="0024310E">
        <w:rPr>
          <w:rFonts w:ascii="Arial" w:eastAsia="Times New Roman" w:hAnsi="Arial" w:cs="Arial"/>
          <w:sz w:val="22"/>
          <w:szCs w:val="22"/>
          <w:lang w:eastAsia="fr-BE"/>
        </w:rPr>
        <w:t>et qu’ils ne parviennent pas à recharger leur compteur</w:t>
      </w:r>
      <w:r w:rsidR="00660339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;</w:t>
      </w:r>
    </w:p>
    <w:p w14:paraId="286B2867" w14:textId="7B6F371A" w:rsidR="003D5D33" w:rsidRPr="0024310E" w:rsidRDefault="008149DE" w:rsidP="0024310E">
      <w:pPr>
        <w:numPr>
          <w:ilvl w:val="0"/>
          <w:numId w:val="1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La demande de carte d’alimentation </w:t>
      </w:r>
      <w:r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>en gaz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au gestionnaire de réseau de distribution durant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la période hibernale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>,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s’ils ont un compteur à budget pour le gaz et qu’ils ne parviennent pas à recharger leur compteur.</w:t>
      </w:r>
    </w:p>
    <w:p w14:paraId="57A1455D" w14:textId="77777777" w:rsidR="003D5D33" w:rsidRPr="0024310E" w:rsidRDefault="003D5D33" w:rsidP="008149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34747"/>
          <w:sz w:val="22"/>
          <w:szCs w:val="22"/>
          <w:lang w:eastAsia="fr-BE"/>
        </w:rPr>
      </w:pPr>
    </w:p>
    <w:p w14:paraId="4E2E9195" w14:textId="63924AF2" w:rsidR="008149DE" w:rsidRPr="00F64E6E" w:rsidRDefault="00B3515D" w:rsidP="00F64E6E">
      <w:pPr>
        <w:widowControl w:val="0"/>
        <w:jc w:val="both"/>
        <w:rPr>
          <w:b/>
          <w:bCs/>
          <w:color w:val="00B588"/>
          <w:sz w:val="26"/>
          <w:szCs w:val="26"/>
        </w:rPr>
      </w:pPr>
      <w:r w:rsidRPr="00F64E6E">
        <w:rPr>
          <w:b/>
          <w:bCs/>
          <w:color w:val="00B588"/>
          <w:sz w:val="26"/>
          <w:szCs w:val="26"/>
        </w:rPr>
        <w:t>L’application du</w:t>
      </w:r>
      <w:r w:rsidR="008149DE" w:rsidRPr="00F64E6E">
        <w:rPr>
          <w:b/>
          <w:bCs/>
          <w:color w:val="00B588"/>
          <w:sz w:val="26"/>
          <w:szCs w:val="26"/>
        </w:rPr>
        <w:t xml:space="preserve"> statut de client protégé :</w:t>
      </w:r>
    </w:p>
    <w:p w14:paraId="0039A17E" w14:textId="77777777" w:rsidR="00A921AA" w:rsidRPr="0024310E" w:rsidRDefault="00A72234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Pour la plupart des clients protégés fédéraux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(</w:t>
      </w:r>
      <w:proofErr w:type="spellStart"/>
      <w:r w:rsidRPr="0024310E">
        <w:rPr>
          <w:rFonts w:ascii="Arial" w:eastAsia="Times New Roman" w:hAnsi="Arial" w:cs="Arial"/>
          <w:sz w:val="22"/>
          <w:szCs w:val="22"/>
          <w:lang w:eastAsia="fr-BE"/>
        </w:rPr>
        <w:t>cfr</w:t>
      </w:r>
      <w:proofErr w:type="spellEnd"/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le tableau du précédent point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>), l’application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du 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tarif social est</w:t>
      </w:r>
      <w:r w:rsidR="008149DE"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 xml:space="preserve"> 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automatique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. </w:t>
      </w:r>
    </w:p>
    <w:p w14:paraId="433C8EE5" w14:textId="42030650" w:rsidR="00A921AA" w:rsidRPr="0024310E" w:rsidRDefault="00B3515D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Cela signifie</w:t>
      </w:r>
      <w:r w:rsidR="00A72234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que les consommateurs ne doivent effectuer 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>aucune démarche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pour bénéficier de ce statut</w:t>
      </w:r>
      <w:r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>.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Il</w:t>
      </w:r>
      <w:r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 xml:space="preserve"> </w:t>
      </w:r>
      <w:r w:rsidR="00A72234" w:rsidRPr="0024310E">
        <w:rPr>
          <w:rFonts w:ascii="Arial" w:eastAsia="Times New Roman" w:hAnsi="Arial" w:cs="Arial"/>
          <w:sz w:val="22"/>
          <w:szCs w:val="22"/>
          <w:lang w:eastAsia="fr-BE"/>
        </w:rPr>
        <w:t>débute</w:t>
      </w:r>
      <w:r w:rsidR="00A72234" w:rsidRPr="0024310E">
        <w:rPr>
          <w:rFonts w:ascii="Arial" w:eastAsia="Times New Roman" w:hAnsi="Arial" w:cs="Arial"/>
          <w:b/>
          <w:bCs/>
          <w:sz w:val="22"/>
          <w:szCs w:val="22"/>
          <w:lang w:eastAsia="fr-BE"/>
        </w:rPr>
        <w:t xml:space="preserve"> 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à partir du 1</w:t>
      </w:r>
      <w:r w:rsidR="008149DE" w:rsidRPr="0024310E">
        <w:rPr>
          <w:rFonts w:ascii="Arial" w:eastAsia="Times New Roman" w:hAnsi="Arial" w:cs="Arial"/>
          <w:sz w:val="22"/>
          <w:szCs w:val="22"/>
          <w:vertAlign w:val="superscript"/>
          <w:lang w:eastAsia="fr-BE"/>
        </w:rPr>
        <w:t>er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 jour du trimestre au cours duquel la décision d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>’octroi de l’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allocation ou 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>de l’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aide est prise.</w:t>
      </w:r>
    </w:p>
    <w:p w14:paraId="448C204E" w14:textId="0535C686" w:rsidR="00A921AA" w:rsidRPr="0024310E" w:rsidRDefault="00330A37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P</w:t>
      </w:r>
      <w:r w:rsidR="00A921AA" w:rsidRPr="0024310E">
        <w:rPr>
          <w:rFonts w:ascii="Arial" w:eastAsia="Times New Roman" w:hAnsi="Arial" w:cs="Arial"/>
          <w:sz w:val="22"/>
          <w:szCs w:val="22"/>
          <w:lang w:eastAsia="fr-BE"/>
        </w:rPr>
        <w:t>renons l’exemple de Monsieur X pour qui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B3515D" w:rsidRPr="0024310E">
        <w:rPr>
          <w:rFonts w:ascii="Arial" w:eastAsia="Times New Roman" w:hAnsi="Arial" w:cs="Arial"/>
          <w:sz w:val="22"/>
          <w:szCs w:val="22"/>
          <w:lang w:eastAsia="fr-BE"/>
        </w:rPr>
        <w:t>l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e CPAS octroi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>e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un revenu d’intégration social</w:t>
      </w:r>
      <w:r w:rsidR="00BC15E7" w:rsidRPr="0024310E">
        <w:rPr>
          <w:rFonts w:ascii="Arial" w:eastAsia="Times New Roman" w:hAnsi="Arial" w:cs="Arial"/>
          <w:sz w:val="22"/>
          <w:szCs w:val="22"/>
          <w:lang w:eastAsia="fr-BE"/>
        </w:rPr>
        <w:t>e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à partir du 15 février 2019. Monsieur X est client protégé fédéral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et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le tarif social s’appliquera de manière rétroactive et automatique à partir du 1</w:t>
      </w:r>
      <w:r w:rsidRPr="0024310E">
        <w:rPr>
          <w:rFonts w:ascii="Arial" w:eastAsia="Times New Roman" w:hAnsi="Arial" w:cs="Arial"/>
          <w:sz w:val="22"/>
          <w:szCs w:val="22"/>
          <w:vertAlign w:val="superscript"/>
          <w:lang w:eastAsia="fr-BE"/>
        </w:rPr>
        <w:t>er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janvier 2019. </w:t>
      </w:r>
    </w:p>
    <w:p w14:paraId="5808A576" w14:textId="55460235" w:rsidR="008149DE" w:rsidRPr="0024310E" w:rsidRDefault="00A921AA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Prenons maintenant l’exemple de Monsieur X ayant introduit sa demande le 15 février 2019 qui</w:t>
      </w:r>
      <w:r w:rsidR="003D4D82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reçoit une décision d’octroi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à partir du 1</w:t>
      </w:r>
      <w:r w:rsidRPr="0024310E">
        <w:rPr>
          <w:rFonts w:ascii="Arial" w:eastAsia="Times New Roman" w:hAnsi="Arial" w:cs="Arial"/>
          <w:sz w:val="22"/>
          <w:szCs w:val="22"/>
          <w:vertAlign w:val="superscript"/>
          <w:lang w:eastAsia="fr-BE"/>
        </w:rPr>
        <w:t>er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novembre 2018. Dans ce cas, Monsieur X bénéficiera du statut de client protégé et donc du tarif social à partir du 1</w:t>
      </w:r>
      <w:r w:rsidRPr="0024310E">
        <w:rPr>
          <w:rFonts w:ascii="Arial" w:eastAsia="Times New Roman" w:hAnsi="Arial" w:cs="Arial"/>
          <w:sz w:val="22"/>
          <w:szCs w:val="22"/>
          <w:vertAlign w:val="superscript"/>
          <w:lang w:eastAsia="fr-BE"/>
        </w:rPr>
        <w:t>er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novembre. 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Pour que 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>ce tarif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B3515D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lui 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soit appliqué, il faut que </w:t>
      </w:r>
      <w:r w:rsidR="002C4DD1" w:rsidRPr="0024310E">
        <w:rPr>
          <w:rFonts w:ascii="Arial" w:eastAsia="Times New Roman" w:hAnsi="Arial" w:cs="Arial"/>
          <w:sz w:val="22"/>
          <w:szCs w:val="22"/>
          <w:lang w:eastAsia="fr-BE"/>
        </w:rPr>
        <w:t>Monsieur X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envoie une attestation du CPAS</w:t>
      </w:r>
      <w:r w:rsidR="002C4DD1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330A37" w:rsidRPr="0024310E">
        <w:rPr>
          <w:rFonts w:ascii="Arial" w:eastAsia="Times New Roman" w:hAnsi="Arial" w:cs="Arial"/>
          <w:sz w:val="22"/>
          <w:szCs w:val="22"/>
          <w:lang w:eastAsia="fr-BE"/>
        </w:rPr>
        <w:t>à son fournisseur.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</w:p>
    <w:p w14:paraId="1B1DAE81" w14:textId="16ABE1FA" w:rsidR="008149DE" w:rsidRPr="0024310E" w:rsidRDefault="00BC15E7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Auparavant, l</w:t>
      </w:r>
      <w:r w:rsidR="00504153" w:rsidRPr="0024310E">
        <w:rPr>
          <w:rFonts w:ascii="Arial" w:eastAsia="Times New Roman" w:hAnsi="Arial" w:cs="Arial"/>
          <w:sz w:val="22"/>
          <w:szCs w:val="22"/>
          <w:lang w:eastAsia="fr-BE"/>
        </w:rPr>
        <w:t>a DGPH du SPF Sécurité Sociale, c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ontrairement aux CPAS et au Service fédéral </w:t>
      </w:r>
      <w:r w:rsidR="00504153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Pension,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n’envoyait pas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les attestations pour les années antérieures à la date de la décision d’octroi de l’allocation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, ce qui empêchait les consommateurs de bénéficier du statut de client protégé de manière rétroactive</w:t>
      </w:r>
      <w:r w:rsidR="008149DE" w:rsidRPr="0024310E">
        <w:rPr>
          <w:rFonts w:ascii="Arial" w:eastAsia="Times New Roman" w:hAnsi="Arial" w:cs="Arial"/>
          <w:sz w:val="22"/>
          <w:szCs w:val="22"/>
          <w:lang w:eastAsia="fr-BE"/>
        </w:rPr>
        <w:t>.</w:t>
      </w:r>
    </w:p>
    <w:p w14:paraId="3FCB21BB" w14:textId="7E458A75" w:rsidR="008149DE" w:rsidRPr="0024310E" w:rsidRDefault="00504153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Pour éviter ce problème, la loi a été modifiée depuis le 24 février 2019. Désormais, lorsqu’une personne bénéficie d’une allocation DGPH, elle aura droit au tarif social à partir de la date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lastRenderedPageBreak/>
        <w:t xml:space="preserve">d’octroi de cette allocation. </w:t>
      </w:r>
      <w:r w:rsidR="004227B3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Et si celle-ci est rendue tardivement, le fournisseur devra appliquer le tarif social depuis la date d’octroi et devra corriger les factures. Cependant, la loi précise que le fournisseur </w:t>
      </w:r>
      <w:proofErr w:type="gramStart"/>
      <w:r w:rsidR="004227B3" w:rsidRPr="0024310E">
        <w:rPr>
          <w:rFonts w:ascii="Arial" w:eastAsia="Times New Roman" w:hAnsi="Arial" w:cs="Arial"/>
          <w:sz w:val="22"/>
          <w:szCs w:val="22"/>
          <w:lang w:eastAsia="fr-BE"/>
        </w:rPr>
        <w:t>devra</w:t>
      </w:r>
      <w:proofErr w:type="gramEnd"/>
      <w:r w:rsidR="004227B3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corriger le tarif maximum deux années en arrière si le client était déjà fourni chez lui. </w:t>
      </w:r>
    </w:p>
    <w:p w14:paraId="4CDD9E6B" w14:textId="40FB0514" w:rsidR="000646E9" w:rsidRPr="0024310E" w:rsidRDefault="003D4D82" w:rsidP="008149D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Nous nous interrogeons toutefois sur la manière dont cette</w:t>
      </w:r>
      <w:r w:rsidR="000646E9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rétroactivité sera appliquée. Est-ce que l’attestation sera envoyée au consommateur par la DGPH ou par le SPF Economie</w:t>
      </w:r>
      <w:r w:rsidR="004F2A9F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0646E9" w:rsidRPr="0024310E">
        <w:rPr>
          <w:rFonts w:ascii="Arial" w:eastAsia="Times New Roman" w:hAnsi="Arial" w:cs="Arial"/>
          <w:sz w:val="22"/>
          <w:szCs w:val="22"/>
          <w:lang w:eastAsia="fr-BE"/>
        </w:rPr>
        <w:t>?</w:t>
      </w:r>
      <w:r w:rsidR="004F2A9F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  <w:r w:rsidR="000646E9" w:rsidRPr="0024310E">
        <w:rPr>
          <w:rFonts w:ascii="Arial" w:eastAsia="Times New Roman" w:hAnsi="Arial" w:cs="Arial"/>
          <w:sz w:val="22"/>
          <w:szCs w:val="22"/>
          <w:lang w:eastAsia="fr-BE"/>
        </w:rPr>
        <w:t>Est-ce que le simple fait de bénéficier de l’allocation suffit au fournisseur pour appliquer le tarif social ? Nous vous reviendrons avec davantage d’informations à ce sujet.</w:t>
      </w:r>
    </w:p>
    <w:p w14:paraId="7954EF5E" w14:textId="27A7DF6E" w:rsidR="004B54E0" w:rsidRPr="00F64E6E" w:rsidRDefault="00B3515D" w:rsidP="00F64E6E">
      <w:pPr>
        <w:widowControl w:val="0"/>
        <w:jc w:val="both"/>
        <w:rPr>
          <w:b/>
          <w:bCs/>
          <w:color w:val="00B588"/>
          <w:sz w:val="26"/>
          <w:szCs w:val="26"/>
        </w:rPr>
      </w:pPr>
      <w:r w:rsidRPr="00F64E6E">
        <w:rPr>
          <w:b/>
          <w:bCs/>
          <w:color w:val="00B588"/>
          <w:sz w:val="26"/>
          <w:szCs w:val="26"/>
        </w:rPr>
        <w:t>Les f</w:t>
      </w:r>
      <w:r w:rsidR="004B54E0" w:rsidRPr="00F64E6E">
        <w:rPr>
          <w:b/>
          <w:bCs/>
          <w:color w:val="00B588"/>
          <w:sz w:val="26"/>
          <w:szCs w:val="26"/>
        </w:rPr>
        <w:t xml:space="preserve">rais de recouvrement </w:t>
      </w:r>
    </w:p>
    <w:p w14:paraId="18ACC24E" w14:textId="002F5A7C" w:rsidR="00E245FA" w:rsidRPr="0024310E" w:rsidRDefault="00E245FA" w:rsidP="00E245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Depuis le 1er avril 2019, les frais de recouvrement </w:t>
      </w:r>
      <w:r w:rsidR="003D4D82" w:rsidRPr="0024310E">
        <w:rPr>
          <w:rFonts w:ascii="Arial" w:eastAsia="Times New Roman" w:hAnsi="Arial" w:cs="Arial"/>
          <w:sz w:val="22"/>
          <w:szCs w:val="22"/>
          <w:lang w:eastAsia="fr-BE"/>
        </w:rPr>
        <w:t>d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es dettes d’énergie sont limités par la règlementation. </w:t>
      </w:r>
    </w:p>
    <w:p w14:paraId="55995E41" w14:textId="5AC03DB6" w:rsidR="00E245FA" w:rsidRPr="0024310E" w:rsidRDefault="00E245FA" w:rsidP="00E245F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Les fournisseurs ne pourront réclamer que :</w:t>
      </w:r>
    </w:p>
    <w:p w14:paraId="77C1CAB6" w14:textId="1DB6B7EC" w:rsidR="00E245FA" w:rsidRPr="0024310E" w:rsidRDefault="00E245FA" w:rsidP="00E245F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Des intérêts de retard au taux légal (2% par an en 2019) ;</w:t>
      </w:r>
    </w:p>
    <w:p w14:paraId="232E19D4" w14:textId="06A453B8" w:rsidR="00E245FA" w:rsidRPr="0024310E" w:rsidRDefault="00E245FA" w:rsidP="00E245F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Un montant maximum de 7,50 € par rappel ;</w:t>
      </w:r>
    </w:p>
    <w:p w14:paraId="56908C9D" w14:textId="692C7ACE" w:rsidR="00E245FA" w:rsidRPr="0024310E" w:rsidRDefault="00E245FA" w:rsidP="00E245FA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Un montant maximum de 15 € par mise en demeure.</w:t>
      </w:r>
    </w:p>
    <w:p w14:paraId="59C4F5F9" w14:textId="77777777" w:rsidR="00E245FA" w:rsidRPr="0024310E" w:rsidRDefault="00E245FA" w:rsidP="00E245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</w:p>
    <w:p w14:paraId="1AD41F2C" w14:textId="2D2C1726" w:rsidR="00E245FA" w:rsidRPr="0024310E" w:rsidRDefault="00E245FA" w:rsidP="00E245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Pour ce faire, il faut que : </w:t>
      </w:r>
    </w:p>
    <w:p w14:paraId="0F80C8AD" w14:textId="77777777" w:rsidR="00E245FA" w:rsidRPr="0024310E" w:rsidRDefault="00E245FA" w:rsidP="00E245F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</w:p>
    <w:p w14:paraId="3EA8791F" w14:textId="63686D14" w:rsidR="00E245FA" w:rsidRPr="0024310E" w:rsidRDefault="00E245FA" w:rsidP="00E245FA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Ces coûts soient clairement indiqués dans les conditions générales et/ou dans le contrat ;</w:t>
      </w:r>
    </w:p>
    <w:p w14:paraId="608AA5EC" w14:textId="01827809" w:rsidR="00E245FA" w:rsidRPr="0024310E" w:rsidRDefault="00E245FA" w:rsidP="00E245FA">
      <w:pPr>
        <w:pStyle w:val="Paragraphedeliste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Que le montant des frais n’excède pas 55 € par année et par énergie.</w:t>
      </w:r>
    </w:p>
    <w:p w14:paraId="05438F8B" w14:textId="77777777" w:rsidR="005A6C05" w:rsidRPr="0024310E" w:rsidRDefault="005A6C05" w:rsidP="005A6C05">
      <w:pPr>
        <w:pStyle w:val="Paragraphedeliste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</w:p>
    <w:p w14:paraId="79D90FB0" w14:textId="204BCCBD" w:rsidR="00645389" w:rsidRPr="00F64E6E" w:rsidRDefault="00B3515D" w:rsidP="00F64E6E">
      <w:pPr>
        <w:widowControl w:val="0"/>
        <w:jc w:val="both"/>
        <w:rPr>
          <w:b/>
          <w:bCs/>
          <w:color w:val="00B588"/>
          <w:sz w:val="26"/>
          <w:szCs w:val="26"/>
        </w:rPr>
      </w:pPr>
      <w:r w:rsidRPr="00F64E6E">
        <w:rPr>
          <w:b/>
          <w:bCs/>
          <w:color w:val="00B588"/>
          <w:sz w:val="26"/>
          <w:szCs w:val="26"/>
        </w:rPr>
        <w:t>Les p</w:t>
      </w:r>
      <w:r w:rsidR="00645389" w:rsidRPr="00F64E6E">
        <w:rPr>
          <w:b/>
          <w:bCs/>
          <w:color w:val="00B588"/>
          <w:sz w:val="26"/>
          <w:szCs w:val="26"/>
        </w:rPr>
        <w:t>lan</w:t>
      </w:r>
      <w:r w:rsidRPr="00F64E6E">
        <w:rPr>
          <w:b/>
          <w:bCs/>
          <w:color w:val="00B588"/>
          <w:sz w:val="26"/>
          <w:szCs w:val="26"/>
        </w:rPr>
        <w:t>s</w:t>
      </w:r>
      <w:r w:rsidR="00645389" w:rsidRPr="00F64E6E">
        <w:rPr>
          <w:b/>
          <w:bCs/>
          <w:color w:val="00B588"/>
          <w:sz w:val="26"/>
          <w:szCs w:val="26"/>
        </w:rPr>
        <w:t xml:space="preserve"> de paiement : </w:t>
      </w:r>
    </w:p>
    <w:p w14:paraId="66F7E077" w14:textId="77777777" w:rsidR="006F3D39" w:rsidRPr="0024310E" w:rsidRDefault="009B703C" w:rsidP="00D5436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310E">
        <w:rPr>
          <w:rFonts w:ascii="Arial" w:hAnsi="Arial" w:cs="Arial"/>
          <w:sz w:val="22"/>
          <w:szCs w:val="22"/>
        </w:rPr>
        <w:t>Par le passé, il était possible que le fournisseur demande au consommateur de payer des frais administratifs pour l’élaboration d’un plan de paiement. Cette pratique est révolue depuis le 1</w:t>
      </w:r>
      <w:r w:rsidRPr="0024310E">
        <w:rPr>
          <w:rFonts w:ascii="Arial" w:hAnsi="Arial" w:cs="Arial"/>
          <w:sz w:val="22"/>
          <w:szCs w:val="22"/>
          <w:vertAlign w:val="superscript"/>
        </w:rPr>
        <w:t>er</w:t>
      </w:r>
      <w:r w:rsidRPr="0024310E">
        <w:rPr>
          <w:rFonts w:ascii="Arial" w:hAnsi="Arial" w:cs="Arial"/>
          <w:sz w:val="22"/>
          <w:szCs w:val="22"/>
        </w:rPr>
        <w:t xml:space="preserve"> avril 2019 !</w:t>
      </w:r>
      <w:r w:rsidR="00645389" w:rsidRPr="0024310E">
        <w:rPr>
          <w:rFonts w:ascii="Arial" w:hAnsi="Arial" w:cs="Arial"/>
          <w:sz w:val="22"/>
          <w:szCs w:val="22"/>
        </w:rPr>
        <w:t xml:space="preserve"> </w:t>
      </w:r>
    </w:p>
    <w:p w14:paraId="5FA49AA2" w14:textId="61A1FE72" w:rsidR="003D4D82" w:rsidRPr="0024310E" w:rsidRDefault="006F3D39" w:rsidP="00D5436D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4310E">
        <w:rPr>
          <w:rFonts w:ascii="Arial" w:hAnsi="Arial" w:cs="Arial"/>
          <w:sz w:val="22"/>
          <w:szCs w:val="22"/>
        </w:rPr>
        <w:t>Le fournisseur ne peut</w:t>
      </w:r>
      <w:r w:rsidR="00BC15E7" w:rsidRPr="0024310E">
        <w:rPr>
          <w:rFonts w:ascii="Arial" w:hAnsi="Arial" w:cs="Arial"/>
          <w:sz w:val="22"/>
          <w:szCs w:val="22"/>
        </w:rPr>
        <w:t xml:space="preserve"> donc</w:t>
      </w:r>
      <w:r w:rsidRPr="0024310E">
        <w:rPr>
          <w:rFonts w:ascii="Arial" w:hAnsi="Arial" w:cs="Arial"/>
          <w:sz w:val="22"/>
          <w:szCs w:val="22"/>
        </w:rPr>
        <w:t xml:space="preserve"> plus appliquer de frais administratifs </w:t>
      </w:r>
      <w:r w:rsidR="00BC15E7" w:rsidRPr="0024310E">
        <w:rPr>
          <w:rFonts w:ascii="Arial" w:hAnsi="Arial" w:cs="Arial"/>
          <w:sz w:val="22"/>
          <w:szCs w:val="22"/>
        </w:rPr>
        <w:t>mais</w:t>
      </w:r>
      <w:r w:rsidRPr="0024310E">
        <w:rPr>
          <w:rFonts w:ascii="Arial" w:hAnsi="Arial" w:cs="Arial"/>
          <w:sz w:val="22"/>
          <w:szCs w:val="22"/>
        </w:rPr>
        <w:t xml:space="preserve"> le plan</w:t>
      </w:r>
      <w:r w:rsidR="00645389" w:rsidRPr="0024310E">
        <w:rPr>
          <w:rFonts w:ascii="Arial" w:hAnsi="Arial" w:cs="Arial"/>
          <w:sz w:val="22"/>
          <w:szCs w:val="22"/>
        </w:rPr>
        <w:t xml:space="preserve"> de paiement </w:t>
      </w:r>
      <w:r w:rsidR="00BC15E7" w:rsidRPr="0024310E">
        <w:rPr>
          <w:rFonts w:ascii="Arial" w:hAnsi="Arial" w:cs="Arial"/>
          <w:sz w:val="22"/>
          <w:szCs w:val="22"/>
        </w:rPr>
        <w:t xml:space="preserve">proposé </w:t>
      </w:r>
      <w:r w:rsidR="00645389" w:rsidRPr="0024310E">
        <w:rPr>
          <w:rFonts w:ascii="Arial" w:hAnsi="Arial" w:cs="Arial"/>
          <w:sz w:val="22"/>
          <w:szCs w:val="22"/>
        </w:rPr>
        <w:t>doit </w:t>
      </w:r>
      <w:r w:rsidR="00645389" w:rsidRPr="0024310E">
        <w:rPr>
          <w:rStyle w:val="lev"/>
          <w:rFonts w:ascii="Arial" w:eastAsiaTheme="majorEastAsia" w:hAnsi="Arial" w:cs="Arial"/>
          <w:b w:val="0"/>
          <w:bCs w:val="0"/>
          <w:sz w:val="22"/>
          <w:szCs w:val="22"/>
        </w:rPr>
        <w:t>être raisonnable</w:t>
      </w:r>
      <w:r w:rsidRPr="0024310E">
        <w:rPr>
          <w:rFonts w:ascii="Arial" w:hAnsi="Arial" w:cs="Arial"/>
          <w:sz w:val="22"/>
          <w:szCs w:val="22"/>
        </w:rPr>
        <w:t>, c’est-à-dire qu’i</w:t>
      </w:r>
      <w:r w:rsidR="00645389" w:rsidRPr="0024310E">
        <w:rPr>
          <w:rFonts w:ascii="Arial" w:hAnsi="Arial" w:cs="Arial"/>
          <w:sz w:val="22"/>
          <w:szCs w:val="22"/>
        </w:rPr>
        <w:t xml:space="preserve">l doit permettre d’apurer entièrement </w:t>
      </w:r>
      <w:r w:rsidRPr="0024310E">
        <w:rPr>
          <w:rFonts w:ascii="Arial" w:hAnsi="Arial" w:cs="Arial"/>
          <w:sz w:val="22"/>
          <w:szCs w:val="22"/>
        </w:rPr>
        <w:t xml:space="preserve">la </w:t>
      </w:r>
      <w:r w:rsidR="00645389" w:rsidRPr="0024310E">
        <w:rPr>
          <w:rFonts w:ascii="Arial" w:hAnsi="Arial" w:cs="Arial"/>
          <w:sz w:val="22"/>
          <w:szCs w:val="22"/>
        </w:rPr>
        <w:t>dette</w:t>
      </w:r>
      <w:r w:rsidRPr="0024310E">
        <w:rPr>
          <w:rFonts w:ascii="Arial" w:hAnsi="Arial" w:cs="Arial"/>
          <w:sz w:val="22"/>
          <w:szCs w:val="22"/>
        </w:rPr>
        <w:t xml:space="preserve">. </w:t>
      </w:r>
    </w:p>
    <w:p w14:paraId="474ADDD8" w14:textId="5E8884BD" w:rsidR="00645389" w:rsidRPr="00F64E6E" w:rsidRDefault="00B3515D" w:rsidP="00F64E6E">
      <w:pPr>
        <w:widowControl w:val="0"/>
        <w:jc w:val="both"/>
        <w:rPr>
          <w:b/>
          <w:bCs/>
          <w:color w:val="00B588"/>
          <w:sz w:val="26"/>
          <w:szCs w:val="26"/>
        </w:rPr>
      </w:pPr>
      <w:bookmarkStart w:id="0" w:name="_GoBack"/>
      <w:r w:rsidRPr="00F64E6E">
        <w:rPr>
          <w:b/>
          <w:bCs/>
          <w:color w:val="00B588"/>
          <w:sz w:val="26"/>
          <w:szCs w:val="26"/>
        </w:rPr>
        <w:t>Les m</w:t>
      </w:r>
      <w:r w:rsidR="000B70BF" w:rsidRPr="00F64E6E">
        <w:rPr>
          <w:b/>
          <w:bCs/>
          <w:color w:val="00B588"/>
          <w:sz w:val="26"/>
          <w:szCs w:val="26"/>
        </w:rPr>
        <w:t>entions obligatoires</w:t>
      </w:r>
    </w:p>
    <w:bookmarkEnd w:id="0"/>
    <w:p w14:paraId="1E2D8069" w14:textId="6C2B8288" w:rsidR="004C1802" w:rsidRPr="0024310E" w:rsidRDefault="008841F4" w:rsidP="00FB50E2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Arial" w:eastAsia="Times New Roman" w:hAnsi="Arial" w:cs="Arial"/>
          <w:sz w:val="22"/>
          <w:szCs w:val="22"/>
          <w:lang w:eastAsia="fr-BE"/>
        </w:rPr>
      </w:pPr>
      <w:r w:rsidRPr="0024310E">
        <w:rPr>
          <w:rFonts w:ascii="Arial" w:eastAsia="Times New Roman" w:hAnsi="Arial" w:cs="Arial"/>
          <w:sz w:val="22"/>
          <w:szCs w:val="22"/>
          <w:lang w:eastAsia="fr-BE"/>
        </w:rPr>
        <w:t>Plusieurs m</w:t>
      </w:r>
      <w:r w:rsidR="006F3D39" w:rsidRPr="0024310E">
        <w:rPr>
          <w:rFonts w:ascii="Arial" w:eastAsia="Times New Roman" w:hAnsi="Arial" w:cs="Arial"/>
          <w:sz w:val="22"/>
          <w:szCs w:val="22"/>
          <w:lang w:eastAsia="fr-BE"/>
        </w:rPr>
        <w:t>entions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sont obligatoires</w:t>
      </w:r>
      <w:r w:rsidR="006F3D39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sur les différentes factures d’énergie</w:t>
      </w:r>
      <w:r w:rsidR="00BC15E7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et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de nouvelles mentions s</w:t>
      </w:r>
      <w:r w:rsidR="00BC15E7" w:rsidRPr="0024310E">
        <w:rPr>
          <w:rFonts w:ascii="Arial" w:eastAsia="Times New Roman" w:hAnsi="Arial" w:cs="Arial"/>
          <w:sz w:val="22"/>
          <w:szCs w:val="22"/>
          <w:lang w:eastAsia="fr-BE"/>
        </w:rPr>
        <w:t>e sont ajoutées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. Celles-ci sont </w:t>
      </w:r>
      <w:r w:rsidR="00CF4BB2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spécifiées </w:t>
      </w:r>
      <w:r w:rsidRPr="0024310E">
        <w:rPr>
          <w:rFonts w:ascii="Arial" w:eastAsia="Times New Roman" w:hAnsi="Arial" w:cs="Arial"/>
          <w:sz w:val="22"/>
          <w:szCs w:val="22"/>
          <w:lang w:eastAsia="fr-BE"/>
        </w:rPr>
        <w:t>en gras dans le tableau ci-dessous :</w:t>
      </w:r>
      <w:r w:rsidR="00874E70" w:rsidRPr="0024310E">
        <w:rPr>
          <w:rFonts w:ascii="Arial" w:eastAsia="Times New Roman" w:hAnsi="Arial" w:cs="Arial"/>
          <w:sz w:val="22"/>
          <w:szCs w:val="22"/>
          <w:lang w:eastAsia="fr-BE"/>
        </w:rPr>
        <w:t xml:space="preserve"> </w:t>
      </w:r>
    </w:p>
    <w:p w14:paraId="7E922C68" w14:textId="77777777" w:rsidR="0024310E" w:rsidRPr="0024310E" w:rsidRDefault="0024310E" w:rsidP="00243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24310E">
        <w:rPr>
          <w:rFonts w:ascii="Times New Roman" w:eastAsia="Times New Roman" w:hAnsi="Times New Roman" w:cs="Times New Roman"/>
          <w:noProof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CABE723" wp14:editId="29CEF7DE">
                <wp:simplePos x="0" y="0"/>
                <wp:positionH relativeFrom="column">
                  <wp:posOffset>-2779395</wp:posOffset>
                </wp:positionH>
                <wp:positionV relativeFrom="paragraph">
                  <wp:posOffset>917575</wp:posOffset>
                </wp:positionV>
                <wp:extent cx="5845810" cy="7113905"/>
                <wp:effectExtent l="1905" t="3175" r="635" b="0"/>
                <wp:wrapNone/>
                <wp:docPr id="54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5810" cy="711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08267" id="Control 7" o:spid="_x0000_s1026" style="position:absolute;margin-left:-218.85pt;margin-top:72.25pt;width:460.3pt;height:560.1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1704"/>
        <w:gridCol w:w="2387"/>
      </w:tblGrid>
      <w:tr w:rsidR="0024310E" w:rsidRPr="0024310E" w14:paraId="1063FA6C" w14:textId="77777777" w:rsidTr="0024310E">
        <w:trPr>
          <w:trHeight w:val="1030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12" w:space="0" w:color="74B5E4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E81E0" w14:textId="77777777" w:rsidR="0024310E" w:rsidRPr="0024310E" w:rsidRDefault="0024310E" w:rsidP="0024310E">
            <w:pPr>
              <w:widowControl w:val="0"/>
              <w:spacing w:after="0" w:line="360" w:lineRule="auto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b/>
                <w:bCs/>
                <w:color w:val="434747"/>
                <w:kern w:val="28"/>
                <w:sz w:val="22"/>
                <w:szCs w:val="22"/>
                <w:lang w:eastAsia="fr-FR"/>
                <w14:cntxtAlts/>
              </w:rPr>
              <w:t> 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000000"/>
              <w:bottom w:val="single" w:sz="12" w:space="0" w:color="74B5E4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93E06" w14:textId="77777777" w:rsidR="0024310E" w:rsidRPr="0024310E" w:rsidRDefault="0024310E" w:rsidP="0024310E">
            <w:pPr>
              <w:widowControl w:val="0"/>
              <w:spacing w:after="0" w:line="30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>Facture d’acompte</w:t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000000"/>
              <w:bottom w:val="single" w:sz="12" w:space="0" w:color="74B5E4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D493D" w14:textId="77777777" w:rsidR="0024310E" w:rsidRPr="0024310E" w:rsidRDefault="0024310E" w:rsidP="0024310E">
            <w:pPr>
              <w:widowControl w:val="0"/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>Facture</w:t>
            </w:r>
          </w:p>
          <w:p w14:paraId="018F99EE" w14:textId="77777777" w:rsidR="0024310E" w:rsidRPr="0024310E" w:rsidRDefault="0024310E" w:rsidP="0024310E">
            <w:pPr>
              <w:widowControl w:val="0"/>
              <w:spacing w:after="0" w:line="300" w:lineRule="auto"/>
              <w:jc w:val="center"/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proofErr w:type="gramStart"/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>de</w:t>
            </w:r>
            <w:proofErr w:type="gramEnd"/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 xml:space="preserve"> régularisation</w:t>
            </w:r>
          </w:p>
          <w:p w14:paraId="7D110118" w14:textId="77777777" w:rsidR="0024310E" w:rsidRPr="0024310E" w:rsidRDefault="0024310E" w:rsidP="0024310E">
            <w:pPr>
              <w:widowControl w:val="0"/>
              <w:spacing w:after="0" w:line="30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proofErr w:type="gramStart"/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>et</w:t>
            </w:r>
            <w:proofErr w:type="gramEnd"/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 xml:space="preserve"> de clôture</w:t>
            </w:r>
          </w:p>
        </w:tc>
      </w:tr>
      <w:tr w:rsidR="0024310E" w:rsidRPr="0024310E" w14:paraId="1A491204" w14:textId="77777777" w:rsidTr="0024310E">
        <w:trPr>
          <w:trHeight w:val="621"/>
        </w:trPr>
        <w:tc>
          <w:tcPr>
            <w:tcW w:w="5115" w:type="dxa"/>
            <w:tcBorders>
              <w:top w:val="single" w:sz="12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B442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 code EAN</w:t>
            </w:r>
          </w:p>
        </w:tc>
        <w:tc>
          <w:tcPr>
            <w:tcW w:w="1704" w:type="dxa"/>
            <w:tcBorders>
              <w:top w:val="single" w:sz="12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23C90" w14:textId="77777777" w:rsidR="0024310E" w:rsidRPr="0024310E" w:rsidRDefault="0024310E" w:rsidP="0024310E">
            <w:pPr>
              <w:widowControl w:val="0"/>
              <w:spacing w:after="0" w:line="30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0407C470" wp14:editId="3907A66C">
                  <wp:extent cx="266700" cy="266700"/>
                  <wp:effectExtent l="0" t="0" r="0" b="0"/>
                  <wp:docPr id="53" name="Graphique 2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12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526F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75885DBD" wp14:editId="0B811A11">
                  <wp:extent cx="295275" cy="285750"/>
                  <wp:effectExtent l="0" t="0" r="9525" b="0"/>
                  <wp:docPr id="52" name="Graphique 23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3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5658028D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4E4F2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La période couverte par la facture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C1F2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72D1C222" wp14:editId="741188E3">
                  <wp:extent cx="266700" cy="266700"/>
                  <wp:effectExtent l="0" t="0" r="0" b="0"/>
                  <wp:docPr id="51" name="Graphique 5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5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5D4B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5FBD5417" wp14:editId="7D4FD849">
                  <wp:extent cx="295275" cy="285750"/>
                  <wp:effectExtent l="0" t="0" r="9525" b="0"/>
                  <wp:docPr id="29" name="Graphique 24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4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034A689B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6C241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 délai de paiement et la date d’échéance de la facture 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6E1B9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7B2951DE" wp14:editId="7B369A78">
                  <wp:extent cx="266700" cy="266700"/>
                  <wp:effectExtent l="0" t="0" r="0" b="0"/>
                  <wp:docPr id="30" name="Graphique 6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6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5331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78D0F24A" wp14:editId="02EBF51A">
                  <wp:extent cx="295275" cy="285750"/>
                  <wp:effectExtent l="0" t="0" r="9525" b="0"/>
                  <wp:docPr id="31" name="Graphique 26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6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0776527C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BA1B4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 prix (HTVA) du kWh et de l’énergie en elle-même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7545A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color w:val="434747"/>
                <w:kern w:val="28"/>
                <w:sz w:val="22"/>
                <w:szCs w:val="22"/>
                <w:lang w:eastAsia="fr-FR"/>
                <w14:cntxtAlts/>
              </w:rPr>
              <w:t> </w:t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E8FE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31268F6F" wp14:editId="2F595684">
                  <wp:extent cx="295275" cy="285750"/>
                  <wp:effectExtent l="0" t="0" r="9525" b="0"/>
                  <wp:docPr id="32" name="Graphique 36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6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02D4A2FD" w14:textId="77777777" w:rsidTr="0024310E">
        <w:trPr>
          <w:trHeight w:val="1198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71C69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 coût (HTVA) du transport, de la distribution, des certificats verts, des redevances, surcharges et cotisations fédérales et régionales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9DF49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color w:val="434747"/>
                <w:kern w:val="28"/>
                <w:sz w:val="22"/>
                <w:szCs w:val="22"/>
                <w:lang w:eastAsia="fr-FR"/>
                <w14:cntxtAlts/>
              </w:rPr>
              <w:t> </w:t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79FA6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1158D17C" wp14:editId="1769391F">
                  <wp:extent cx="295275" cy="285750"/>
                  <wp:effectExtent l="0" t="0" r="9525" b="0"/>
                  <wp:docPr id="33" name="Graphique 37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7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12DD53DB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7297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 montant de la facture (HTVA)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EAEB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3AC12125" wp14:editId="1E215BD7">
                  <wp:extent cx="266700" cy="266700"/>
                  <wp:effectExtent l="0" t="0" r="0" b="0"/>
                  <wp:docPr id="34" name="Graphique 7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7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FE9C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00CD00F4" wp14:editId="53AA4CCF">
                  <wp:extent cx="295275" cy="285750"/>
                  <wp:effectExtent l="0" t="0" r="9525" b="0"/>
                  <wp:docPr id="35" name="Graphique 34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4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514986BA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6C057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 xml:space="preserve">Le nombre de kWh consommé </w:t>
            </w:r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>en précisant s’ils sont estimés ou réels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DA3E4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color w:val="434747"/>
                <w:kern w:val="28"/>
                <w:sz w:val="22"/>
                <w:szCs w:val="22"/>
                <w:lang w:eastAsia="fr-FR"/>
                <w14:cntxtAlts/>
              </w:rPr>
              <w:t> </w:t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55D50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47517592" wp14:editId="1B183536">
                  <wp:extent cx="295275" cy="285750"/>
                  <wp:effectExtent l="0" t="0" r="9525" b="0"/>
                  <wp:docPr id="36" name="Graphique 27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7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020B1F4F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25E0C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Les coûts administratifs en cas de non-paiement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EA8FC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0ABE23EC" wp14:editId="3B74DD44">
                  <wp:extent cx="266700" cy="266700"/>
                  <wp:effectExtent l="0" t="0" r="0" b="0"/>
                  <wp:docPr id="37" name="Graphique 8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8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58EFC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0D594CF4" wp14:editId="35E9D88D">
                  <wp:extent cx="295275" cy="285750"/>
                  <wp:effectExtent l="0" t="0" r="9525" b="0"/>
                  <wp:docPr id="38" name="Graphique 28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8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461718EE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D14B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>Préciser si le tarif social est appliqué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21EA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67255DA1" wp14:editId="1F85E379">
                  <wp:extent cx="266700" cy="266700"/>
                  <wp:effectExtent l="0" t="0" r="0" b="0"/>
                  <wp:docPr id="39" name="Graphique 9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9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FB532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6E7467B4" wp14:editId="02BB60ED">
                  <wp:extent cx="295275" cy="285750"/>
                  <wp:effectExtent l="0" t="0" r="9525" b="0"/>
                  <wp:docPr id="40" name="Graphique 29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29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563E4825" w14:textId="77777777" w:rsidTr="0024310E">
        <w:trPr>
          <w:trHeight w:val="902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42D29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>Les dates et les montants des rechargements pour les consommateurs ayant un compteur à budget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581C5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color w:val="434747"/>
                <w:kern w:val="28"/>
                <w:sz w:val="22"/>
                <w:szCs w:val="22"/>
                <w:lang w:eastAsia="fr-FR"/>
                <w14:cntxtAlts/>
              </w:rPr>
              <w:t> </w:t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306A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69821360" wp14:editId="3E2E3B52">
                  <wp:extent cx="295275" cy="285750"/>
                  <wp:effectExtent l="0" t="0" r="9525" b="0"/>
                  <wp:docPr id="41" name="Graphique 38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8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37A67042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29406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La valeur des éventuels paramètres d'indexation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58931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Helvetica" w:eastAsia="Times New Roman" w:hAnsi="Helvetica" w:cs="Helvetica"/>
                <w:color w:val="434747"/>
                <w:kern w:val="28"/>
                <w:sz w:val="22"/>
                <w:szCs w:val="22"/>
                <w:lang w:eastAsia="fr-FR"/>
                <w14:cntxtAlts/>
              </w:rPr>
              <w:t> </w:t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DC91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0EA6836C" wp14:editId="250C766A">
                  <wp:extent cx="295275" cy="285750"/>
                  <wp:effectExtent l="0" t="0" r="9525" b="0"/>
                  <wp:docPr id="42" name="Graphique 30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0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2121C778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D55B1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Les coordonnées du service contentieux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D263D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6A27927A" wp14:editId="0B2B4796">
                  <wp:extent cx="266700" cy="266700"/>
                  <wp:effectExtent l="0" t="0" r="0" b="0"/>
                  <wp:docPr id="43" name="Graphique 10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0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0E22D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1666033C" wp14:editId="6296E20C">
                  <wp:extent cx="295275" cy="285750"/>
                  <wp:effectExtent l="0" t="0" r="9525" b="0"/>
                  <wp:docPr id="44" name="Graphique 31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1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73F704AD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E0862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Les moyens de contact du service de gestion de la clientèle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45D82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516ACA9D" wp14:editId="08EBC43A">
                  <wp:extent cx="266700" cy="266700"/>
                  <wp:effectExtent l="0" t="0" r="0" b="0"/>
                  <wp:docPr id="45" name="Graphique 11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1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43020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57D39AB8" wp14:editId="6BE360C7">
                  <wp:extent cx="295275" cy="285750"/>
                  <wp:effectExtent l="0" t="0" r="9525" b="0"/>
                  <wp:docPr id="46" name="Graphique 35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5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58E016FA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B64DF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Les coordonnées du service qui s’occupe des procédures déménagement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9AF3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0D04ADA1" wp14:editId="0785AC5E">
                  <wp:extent cx="266700" cy="266700"/>
                  <wp:effectExtent l="0" t="0" r="0" b="0"/>
                  <wp:docPr id="47" name="Graphique 12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2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A3140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2E325270" wp14:editId="5B9166AE">
                  <wp:extent cx="295275" cy="285750"/>
                  <wp:effectExtent l="0" t="0" r="9525" b="0"/>
                  <wp:docPr id="48" name="Graphique 32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2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310E" w:rsidRPr="0024310E" w14:paraId="5ACB19DC" w14:textId="77777777" w:rsidTr="0024310E">
        <w:trPr>
          <w:trHeight w:val="621"/>
        </w:trPr>
        <w:tc>
          <w:tcPr>
            <w:tcW w:w="5115" w:type="dxa"/>
            <w:tcBorders>
              <w:top w:val="single" w:sz="8" w:space="0" w:color="74B5E4"/>
              <w:left w:val="single" w:sz="8" w:space="0" w:color="000000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E4D8A" w14:textId="77777777" w:rsidR="0024310E" w:rsidRPr="0024310E" w:rsidRDefault="0024310E" w:rsidP="0024310E">
            <w:pPr>
              <w:widowControl w:val="0"/>
              <w:spacing w:after="0" w:line="300" w:lineRule="auto"/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Les coordonnées</w:t>
            </w:r>
            <w:r w:rsidRPr="0024310E">
              <w:rPr>
                <w:rFonts w:ascii="Arial" w:eastAsia="Times New Roman" w:hAnsi="Arial" w:cs="Arial"/>
                <w:b/>
                <w:bCs/>
                <w:color w:val="4D4D4D"/>
                <w:kern w:val="28"/>
                <w:sz w:val="22"/>
                <w:szCs w:val="22"/>
                <w:lang w:eastAsia="fr-FR"/>
                <w14:cntxtAlts/>
              </w:rPr>
              <w:t xml:space="preserve"> </w:t>
            </w:r>
            <w:r w:rsidRPr="0024310E">
              <w:rPr>
                <w:rFonts w:ascii="Arial" w:eastAsia="Times New Roman" w:hAnsi="Arial" w:cs="Arial"/>
                <w:color w:val="4D4D4D"/>
                <w:kern w:val="28"/>
                <w:sz w:val="22"/>
                <w:szCs w:val="22"/>
                <w:lang w:eastAsia="fr-FR"/>
                <w14:cntxtAlts/>
              </w:rPr>
              <w:t>d’association de défense des consommateurs</w:t>
            </w:r>
          </w:p>
        </w:tc>
        <w:tc>
          <w:tcPr>
            <w:tcW w:w="1704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74B5E4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15D02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741D12CD" wp14:editId="1A672A67">
                  <wp:extent cx="266700" cy="266700"/>
                  <wp:effectExtent l="0" t="0" r="0" b="0"/>
                  <wp:docPr id="49" name="Graphique 13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13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1310" r="-484" b="-122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top w:val="single" w:sz="8" w:space="0" w:color="74B5E4"/>
              <w:left w:val="single" w:sz="8" w:space="0" w:color="74B5E4"/>
              <w:bottom w:val="single" w:sz="8" w:space="0" w:color="74B5E4"/>
              <w:right w:val="single" w:sz="8" w:space="0" w:color="000000"/>
            </w:tcBorders>
            <w:shd w:val="clear" w:color="auto" w:fill="D0E6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9E034" w14:textId="77777777" w:rsidR="0024310E" w:rsidRPr="0024310E" w:rsidRDefault="0024310E" w:rsidP="0024310E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color w:val="4D4D4D"/>
                <w:kern w:val="28"/>
                <w:sz w:val="18"/>
                <w:szCs w:val="18"/>
                <w:lang w:eastAsia="fr-FR"/>
                <w14:cntxtAlts/>
              </w:rPr>
            </w:pPr>
            <w:r w:rsidRPr="0024310E">
              <w:rPr>
                <w:rFonts w:ascii="Arial" w:eastAsia="Times New Roman" w:hAnsi="Arial" w:cs="Arial"/>
                <w:noProof/>
                <w:color w:val="4D4D4D"/>
                <w:kern w:val="28"/>
                <w:sz w:val="18"/>
                <w:szCs w:val="18"/>
                <w:lang w:val="fr-FR" w:eastAsia="fr-FR"/>
                <w14:ligatures w14:val="standard"/>
                <w14:cntxtAlts/>
              </w:rPr>
              <w:drawing>
                <wp:inline distT="0" distB="0" distL="0" distR="0" wp14:anchorId="02D26280" wp14:editId="5C197B00">
                  <wp:extent cx="295275" cy="285750"/>
                  <wp:effectExtent l="0" t="0" r="9525" b="0"/>
                  <wp:docPr id="50" name="Graphique 33" descr="Coch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que 33" descr="Coch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3152" b="-1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00B0D" w14:textId="11F9D0B7" w:rsidR="000B70BF" w:rsidRPr="00CF4BB2" w:rsidRDefault="000B70BF" w:rsidP="00D35C78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434747"/>
          <w:sz w:val="22"/>
          <w:szCs w:val="22"/>
          <w:lang w:eastAsia="fr-BE"/>
        </w:rPr>
      </w:pPr>
    </w:p>
    <w:sectPr w:rsidR="000B70BF" w:rsidRPr="00CF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B51ED" w14:textId="77777777" w:rsidR="00D23B74" w:rsidRDefault="00D23B74" w:rsidP="00D11F74">
      <w:pPr>
        <w:spacing w:after="0" w:line="240" w:lineRule="auto"/>
      </w:pPr>
      <w:r>
        <w:separator/>
      </w:r>
    </w:p>
  </w:endnote>
  <w:endnote w:type="continuationSeparator" w:id="0">
    <w:p w14:paraId="1A1B9FF1" w14:textId="77777777" w:rsidR="00D23B74" w:rsidRDefault="00D23B74" w:rsidP="00D1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61C97" w14:textId="77777777" w:rsidR="00D23B74" w:rsidRDefault="00D23B74" w:rsidP="00D11F74">
      <w:pPr>
        <w:spacing w:after="0" w:line="240" w:lineRule="auto"/>
      </w:pPr>
      <w:r>
        <w:separator/>
      </w:r>
    </w:p>
  </w:footnote>
  <w:footnote w:type="continuationSeparator" w:id="0">
    <w:p w14:paraId="0D70B374" w14:textId="77777777" w:rsidR="00D23B74" w:rsidRDefault="00D23B74" w:rsidP="00D11F74">
      <w:pPr>
        <w:spacing w:after="0" w:line="240" w:lineRule="auto"/>
      </w:pPr>
      <w:r>
        <w:continuationSeparator/>
      </w:r>
    </w:p>
  </w:footnote>
  <w:footnote w:id="1">
    <w:p w14:paraId="6AF9FE64" w14:textId="72EC350C" w:rsidR="000D06DE" w:rsidRDefault="000D06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70D68">
        <w:rPr>
          <w:sz w:val="18"/>
          <w:szCs w:val="18"/>
        </w:rPr>
        <w:t>Protection particulière pour certains consommateurs à revenus modestes ou en situation précaire</w:t>
      </w:r>
    </w:p>
  </w:footnote>
  <w:footnote w:id="2">
    <w:p w14:paraId="0D2BA53F" w14:textId="77777777" w:rsidR="00D11F74" w:rsidRDefault="00D11F7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>
          <w:rPr>
            <w:rStyle w:val="Lienhypertexte"/>
          </w:rPr>
          <w:t>https://www.energieinfowallonie.be/fr/combien-coute-le-placement-dun-compteur-budget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627"/>
    <w:multiLevelType w:val="multilevel"/>
    <w:tmpl w:val="4C24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3C6965"/>
    <w:multiLevelType w:val="multilevel"/>
    <w:tmpl w:val="45E49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57938"/>
    <w:multiLevelType w:val="hybridMultilevel"/>
    <w:tmpl w:val="AAA4E00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8690E"/>
    <w:multiLevelType w:val="multilevel"/>
    <w:tmpl w:val="0AF6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FE7"/>
    <w:multiLevelType w:val="multilevel"/>
    <w:tmpl w:val="0E84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5F3461"/>
    <w:multiLevelType w:val="hybridMultilevel"/>
    <w:tmpl w:val="AD763C7C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9376B"/>
    <w:multiLevelType w:val="multilevel"/>
    <w:tmpl w:val="95DA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0E3797"/>
    <w:multiLevelType w:val="multilevel"/>
    <w:tmpl w:val="C0B4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041F4"/>
    <w:multiLevelType w:val="hybridMultilevel"/>
    <w:tmpl w:val="6D42D5B6"/>
    <w:lvl w:ilvl="0" w:tplc="4080F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4593F"/>
    <w:multiLevelType w:val="multilevel"/>
    <w:tmpl w:val="FA483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2C0E1C"/>
    <w:multiLevelType w:val="multilevel"/>
    <w:tmpl w:val="DA08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A86B7A"/>
    <w:multiLevelType w:val="multilevel"/>
    <w:tmpl w:val="0DB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3D387D"/>
    <w:multiLevelType w:val="multilevel"/>
    <w:tmpl w:val="B49E8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1C57F6"/>
    <w:multiLevelType w:val="multilevel"/>
    <w:tmpl w:val="73E6C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D4ECE"/>
    <w:multiLevelType w:val="multilevel"/>
    <w:tmpl w:val="073A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277A2B"/>
    <w:multiLevelType w:val="multilevel"/>
    <w:tmpl w:val="22687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511978"/>
    <w:multiLevelType w:val="multilevel"/>
    <w:tmpl w:val="940E6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F07CB3"/>
    <w:multiLevelType w:val="multilevel"/>
    <w:tmpl w:val="87F0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7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6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4"/>
    <w:rsid w:val="00012C34"/>
    <w:rsid w:val="00060268"/>
    <w:rsid w:val="000646E9"/>
    <w:rsid w:val="000B70BF"/>
    <w:rsid w:val="000D06DE"/>
    <w:rsid w:val="0014754F"/>
    <w:rsid w:val="00174EA1"/>
    <w:rsid w:val="00196C15"/>
    <w:rsid w:val="0024310E"/>
    <w:rsid w:val="002A2622"/>
    <w:rsid w:val="002B254A"/>
    <w:rsid w:val="002C4DD1"/>
    <w:rsid w:val="002E7EFF"/>
    <w:rsid w:val="002F3EBD"/>
    <w:rsid w:val="00330A37"/>
    <w:rsid w:val="003D4D82"/>
    <w:rsid w:val="003D5D33"/>
    <w:rsid w:val="00414B8A"/>
    <w:rsid w:val="004227B3"/>
    <w:rsid w:val="00457AA7"/>
    <w:rsid w:val="004B54E0"/>
    <w:rsid w:val="004C1802"/>
    <w:rsid w:val="004F2A9F"/>
    <w:rsid w:val="00504153"/>
    <w:rsid w:val="00504B7B"/>
    <w:rsid w:val="00505C03"/>
    <w:rsid w:val="00551FFD"/>
    <w:rsid w:val="00571872"/>
    <w:rsid w:val="005A6C05"/>
    <w:rsid w:val="00607052"/>
    <w:rsid w:val="00645389"/>
    <w:rsid w:val="00660339"/>
    <w:rsid w:val="006B4A21"/>
    <w:rsid w:val="006D7622"/>
    <w:rsid w:val="006F3D39"/>
    <w:rsid w:val="00774212"/>
    <w:rsid w:val="008002D4"/>
    <w:rsid w:val="008149DE"/>
    <w:rsid w:val="0085395D"/>
    <w:rsid w:val="00873722"/>
    <w:rsid w:val="00874E70"/>
    <w:rsid w:val="008841F4"/>
    <w:rsid w:val="008B29D8"/>
    <w:rsid w:val="00906E24"/>
    <w:rsid w:val="009B703C"/>
    <w:rsid w:val="009C00CA"/>
    <w:rsid w:val="00A15967"/>
    <w:rsid w:val="00A72234"/>
    <w:rsid w:val="00A921AA"/>
    <w:rsid w:val="00B3515D"/>
    <w:rsid w:val="00BA7110"/>
    <w:rsid w:val="00BC15E7"/>
    <w:rsid w:val="00C7060C"/>
    <w:rsid w:val="00C70D68"/>
    <w:rsid w:val="00CA587A"/>
    <w:rsid w:val="00CF16B6"/>
    <w:rsid w:val="00CF4BB2"/>
    <w:rsid w:val="00D11F74"/>
    <w:rsid w:val="00D12E91"/>
    <w:rsid w:val="00D23B74"/>
    <w:rsid w:val="00D30B1E"/>
    <w:rsid w:val="00D35C78"/>
    <w:rsid w:val="00D5436D"/>
    <w:rsid w:val="00DD5C09"/>
    <w:rsid w:val="00DE781C"/>
    <w:rsid w:val="00E245FA"/>
    <w:rsid w:val="00EC273B"/>
    <w:rsid w:val="00F13DE3"/>
    <w:rsid w:val="00F52B4C"/>
    <w:rsid w:val="00F64E6E"/>
    <w:rsid w:val="00F80F67"/>
    <w:rsid w:val="00FA6A40"/>
    <w:rsid w:val="00FB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BAC4"/>
  <w15:chartTrackingRefBased/>
  <w15:docId w15:val="{A9973576-FBE1-432A-9CB0-6C669F25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B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C09"/>
  </w:style>
  <w:style w:type="paragraph" w:styleId="Titre1">
    <w:name w:val="heading 1"/>
    <w:basedOn w:val="Normal"/>
    <w:next w:val="Normal"/>
    <w:link w:val="Titre1Car"/>
    <w:uiPriority w:val="9"/>
    <w:qFormat/>
    <w:rsid w:val="00DD5C09"/>
    <w:pPr>
      <w:keepNext/>
      <w:keepLines/>
      <w:pBdr>
        <w:bottom w:val="single" w:sz="4" w:space="2" w:color="58B6C0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5C0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D5C0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5C0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D5C0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D5C0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D5C0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D5C0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D5C0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5C0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DD5C09"/>
    <w:rPr>
      <w:rFonts w:asciiTheme="majorHAnsi" w:eastAsiaTheme="majorEastAsia" w:hAnsiTheme="majorHAnsi" w:cstheme="majorBidi"/>
      <w:color w:val="58B6C0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DD5C09"/>
    <w:rPr>
      <w:rFonts w:asciiTheme="majorHAnsi" w:eastAsiaTheme="majorEastAsia" w:hAnsiTheme="majorHAnsi" w:cstheme="majorBidi"/>
      <w:color w:val="398E98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DD5C09"/>
    <w:rPr>
      <w:rFonts w:asciiTheme="majorHAnsi" w:eastAsiaTheme="majorEastAsia" w:hAnsiTheme="majorHAnsi" w:cstheme="majorBidi"/>
      <w:i/>
      <w:iCs/>
      <w:color w:val="265F65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DD5C09"/>
    <w:rPr>
      <w:rFonts w:asciiTheme="majorHAnsi" w:eastAsiaTheme="majorEastAsia" w:hAnsiTheme="majorHAnsi" w:cstheme="majorBidi"/>
      <w:color w:val="398E98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DD5C09"/>
    <w:rPr>
      <w:rFonts w:asciiTheme="majorHAnsi" w:eastAsiaTheme="majorEastAsia" w:hAnsiTheme="majorHAnsi" w:cstheme="majorBidi"/>
      <w:i/>
      <w:iCs/>
      <w:color w:val="265F65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rsid w:val="00DD5C09"/>
    <w:rPr>
      <w:rFonts w:asciiTheme="majorHAnsi" w:eastAsiaTheme="majorEastAsia" w:hAnsiTheme="majorHAnsi" w:cstheme="majorBidi"/>
      <w:b/>
      <w:bCs/>
      <w:color w:val="265F65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DD5C09"/>
    <w:rPr>
      <w:rFonts w:asciiTheme="majorHAnsi" w:eastAsiaTheme="majorEastAsia" w:hAnsiTheme="majorHAnsi" w:cstheme="majorBidi"/>
      <w:color w:val="265F65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DD5C09"/>
    <w:rPr>
      <w:rFonts w:asciiTheme="majorHAnsi" w:eastAsiaTheme="majorEastAsia" w:hAnsiTheme="majorHAnsi" w:cstheme="majorBidi"/>
      <w:i/>
      <w:iCs/>
      <w:color w:val="265F65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D5C0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D5C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DD5C0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D5C0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D5C09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DD5C09"/>
    <w:rPr>
      <w:b/>
      <w:bCs/>
    </w:rPr>
  </w:style>
  <w:style w:type="character" w:styleId="Accentuation">
    <w:name w:val="Emphasis"/>
    <w:basedOn w:val="Policepardfaut"/>
    <w:uiPriority w:val="20"/>
    <w:qFormat/>
    <w:rsid w:val="00DD5C09"/>
    <w:rPr>
      <w:i/>
      <w:iCs/>
      <w:color w:val="000000" w:themeColor="text1"/>
    </w:rPr>
  </w:style>
  <w:style w:type="paragraph" w:styleId="Sansinterligne">
    <w:name w:val="No Spacing"/>
    <w:link w:val="SansinterligneCar"/>
    <w:uiPriority w:val="1"/>
    <w:qFormat/>
    <w:rsid w:val="00DD5C0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D5C09"/>
  </w:style>
  <w:style w:type="paragraph" w:styleId="Paragraphedeliste">
    <w:name w:val="List Paragraph"/>
    <w:basedOn w:val="Normal"/>
    <w:uiPriority w:val="34"/>
    <w:qFormat/>
    <w:rsid w:val="00DD5C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D5C0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D5C0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D5C09"/>
    <w:pPr>
      <w:pBdr>
        <w:top w:val="single" w:sz="24" w:space="4" w:color="58B6C0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D5C09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DD5C09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D5C09"/>
    <w:rPr>
      <w:b/>
      <w:bCs/>
      <w:i/>
      <w:iCs/>
      <w:caps w:val="0"/>
      <w:smallCaps w:val="0"/>
      <w:strike w:val="0"/>
      <w:dstrike w:val="0"/>
      <w:color w:val="58B6C0" w:themeColor="accent2"/>
    </w:rPr>
  </w:style>
  <w:style w:type="character" w:styleId="Rfrencelgre">
    <w:name w:val="Subtle Reference"/>
    <w:basedOn w:val="Policepardfaut"/>
    <w:uiPriority w:val="31"/>
    <w:qFormat/>
    <w:rsid w:val="00DD5C0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DD5C0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DD5C0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D5C09"/>
    <w:pPr>
      <w:outlineLvl w:val="9"/>
    </w:pPr>
  </w:style>
  <w:style w:type="paragraph" w:styleId="NormalWeb">
    <w:name w:val="Normal (Web)"/>
    <w:basedOn w:val="Normal"/>
    <w:uiPriority w:val="99"/>
    <w:unhideWhenUsed/>
    <w:rsid w:val="00D1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1F7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1F7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11F74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D11F74"/>
    <w:rPr>
      <w:color w:val="0000FF"/>
      <w:u w:val="single"/>
    </w:rPr>
  </w:style>
  <w:style w:type="character" w:customStyle="1" w:styleId="has-tip">
    <w:name w:val="has-tip"/>
    <w:basedOn w:val="Policepardfaut"/>
    <w:rsid w:val="004B54E0"/>
  </w:style>
  <w:style w:type="paragraph" w:styleId="Notedefin">
    <w:name w:val="endnote text"/>
    <w:basedOn w:val="Normal"/>
    <w:link w:val="NotedefinCar"/>
    <w:uiPriority w:val="99"/>
    <w:semiHidden/>
    <w:unhideWhenUsed/>
    <w:rsid w:val="000D06D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D06DE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D06DE"/>
    <w:rPr>
      <w:vertAlign w:val="superscript"/>
    </w:rPr>
  </w:style>
  <w:style w:type="table" w:styleId="Grilledutableau">
    <w:name w:val="Table Grid"/>
    <w:basedOn w:val="TableauNormal"/>
    <w:uiPriority w:val="39"/>
    <w:rsid w:val="00FA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6">
    <w:name w:val="Grid Table 2 Accent 6"/>
    <w:basedOn w:val="TableauNormal"/>
    <w:uiPriority w:val="47"/>
    <w:rsid w:val="00FA6A40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3D5D33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ergieinfowallonie.be/fr/combien-coute-le-placement-dun-compteur-budg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von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5C50E-8C25-4D82-86FC-89D1A10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1243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 Association Chapitre 12</dc:creator>
  <cp:keywords/>
  <dc:description/>
  <cp:lastModifiedBy>Creno Association Chapitre 12</cp:lastModifiedBy>
  <cp:revision>3</cp:revision>
  <dcterms:created xsi:type="dcterms:W3CDTF">2019-12-20T11:03:00Z</dcterms:created>
  <dcterms:modified xsi:type="dcterms:W3CDTF">2019-12-20T14:24:00Z</dcterms:modified>
</cp:coreProperties>
</file>